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CB6972" w14:textId="77777777" w:rsidR="000F0794" w:rsidRPr="003D6B6C" w:rsidRDefault="000F0794" w:rsidP="000F0794">
      <w:pPr>
        <w:pStyle w:val="Subtitle"/>
      </w:pPr>
      <w:bookmarkStart w:id="0" w:name="_Toc42488096"/>
      <w:r w:rsidRPr="003D6B6C">
        <w:t>SPECIAL CONDITIONS</w:t>
      </w:r>
      <w:bookmarkEnd w:id="0"/>
    </w:p>
    <w:p w14:paraId="769912AD" w14:textId="77777777" w:rsidR="000F0794" w:rsidRPr="003D6B6C" w:rsidRDefault="000F0794" w:rsidP="000F0794">
      <w:pPr>
        <w:pStyle w:val="Heading1"/>
      </w:pPr>
      <w:r w:rsidRPr="003D6B6C">
        <w:t>CONTENTS</w:t>
      </w:r>
    </w:p>
    <w:p w14:paraId="696E7600" w14:textId="77777777" w:rsidR="000F0794" w:rsidRPr="003D6B6C" w:rsidRDefault="000F0794" w:rsidP="000F0794">
      <w:r w:rsidRPr="003D6B6C">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14:paraId="4DB1C148" w14:textId="77777777" w:rsidR="000F0794" w:rsidRPr="003D6B6C" w:rsidRDefault="000F0794" w:rsidP="000F0794">
      <w:pPr>
        <w:pStyle w:val="Heading1"/>
      </w:pPr>
      <w:bookmarkStart w:id="1" w:name="_Toc124934896"/>
      <w:r w:rsidRPr="003D6B6C">
        <w:t>Article 2</w:t>
      </w:r>
      <w:r w:rsidRPr="003D6B6C">
        <w:tab/>
        <w:t>L</w:t>
      </w:r>
      <w:bookmarkEnd w:id="1"/>
      <w:r w:rsidRPr="003D6B6C">
        <w:t>anguage of the Contract</w:t>
      </w:r>
    </w:p>
    <w:p w14:paraId="3750B47C" w14:textId="77777777" w:rsidR="000F0794" w:rsidRPr="003D6B6C" w:rsidRDefault="000F0794" w:rsidP="000F0794">
      <w:r w:rsidRPr="003D6B6C">
        <w:t>2.1</w:t>
      </w:r>
      <w:r w:rsidRPr="003D6B6C">
        <w:tab/>
        <w:t>The language used shall be English.</w:t>
      </w:r>
    </w:p>
    <w:p w14:paraId="2E28BDE8" w14:textId="77777777" w:rsidR="000F0794" w:rsidRPr="003D6B6C" w:rsidRDefault="000F0794" w:rsidP="000F0794">
      <w:pPr>
        <w:pStyle w:val="Heading1"/>
      </w:pPr>
      <w:bookmarkStart w:id="2" w:name="_Toc124934897"/>
      <w:r w:rsidRPr="003D6B6C">
        <w:t>Article 4</w:t>
      </w:r>
      <w:r w:rsidRPr="003D6B6C">
        <w:tab/>
        <w:t>Communications</w:t>
      </w:r>
      <w:bookmarkEnd w:id="2"/>
    </w:p>
    <w:p w14:paraId="239972EE" w14:textId="4D7D2097" w:rsidR="000F0794" w:rsidRDefault="000F0794" w:rsidP="000F0794">
      <w:r w:rsidRPr="000A731F">
        <w:t>4.1</w:t>
      </w:r>
      <w:r w:rsidRPr="000A731F">
        <w:tab/>
        <w:t>Contact person</w:t>
      </w:r>
      <w:r w:rsidR="0006790A">
        <w:t xml:space="preserve"> for Contracting Authority </w:t>
      </w:r>
    </w:p>
    <w:tbl>
      <w:tblPr>
        <w:tblW w:w="9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5930"/>
      </w:tblGrid>
      <w:tr w:rsidR="000F0794" w:rsidRPr="00864FE5" w14:paraId="31B1355F" w14:textId="77777777" w:rsidTr="0006790A">
        <w:trPr>
          <w:jc w:val="center"/>
        </w:trPr>
        <w:tc>
          <w:tcPr>
            <w:tcW w:w="3261" w:type="dxa"/>
            <w:shd w:val="pct10" w:color="auto" w:fill="FFFFFF"/>
          </w:tcPr>
          <w:p w14:paraId="12791F94" w14:textId="77777777" w:rsidR="000F0794" w:rsidRPr="00864FE5" w:rsidRDefault="000F0794" w:rsidP="0006790A">
            <w:r w:rsidRPr="00864FE5">
              <w:t>Name:</w:t>
            </w:r>
          </w:p>
        </w:tc>
        <w:tc>
          <w:tcPr>
            <w:tcW w:w="5930" w:type="dxa"/>
          </w:tcPr>
          <w:p w14:paraId="4BBD213E" w14:textId="3724F0AD" w:rsidR="000F0794" w:rsidRPr="005A3134" w:rsidRDefault="0006790A" w:rsidP="0006790A">
            <w:r>
              <w:t>Vasile OSTAFE</w:t>
            </w:r>
          </w:p>
        </w:tc>
      </w:tr>
      <w:tr w:rsidR="000F0794" w:rsidRPr="00864FE5" w14:paraId="7CF2308D" w14:textId="77777777" w:rsidTr="0006790A">
        <w:trPr>
          <w:jc w:val="center"/>
        </w:trPr>
        <w:tc>
          <w:tcPr>
            <w:tcW w:w="3261" w:type="dxa"/>
            <w:shd w:val="pct10" w:color="auto" w:fill="FFFFFF"/>
          </w:tcPr>
          <w:p w14:paraId="76593BED" w14:textId="4443F1F8" w:rsidR="000F0794" w:rsidRPr="00864FE5" w:rsidRDefault="0006790A" w:rsidP="0006790A">
            <w:r>
              <w:t xml:space="preserve">Postal </w:t>
            </w:r>
            <w:r w:rsidR="000F0794" w:rsidRPr="00864FE5">
              <w:t>Address:</w:t>
            </w:r>
          </w:p>
        </w:tc>
        <w:tc>
          <w:tcPr>
            <w:tcW w:w="5930" w:type="dxa"/>
          </w:tcPr>
          <w:p w14:paraId="585CD8B3" w14:textId="41A99037" w:rsidR="000F0794" w:rsidRPr="005A3134" w:rsidRDefault="0006790A" w:rsidP="0006790A">
            <w:r w:rsidRPr="000F0794">
              <w:t>West University of Timisoara (</w:t>
            </w:r>
            <w:proofErr w:type="spellStart"/>
            <w:r w:rsidRPr="000F0794">
              <w:t>Universitatea</w:t>
            </w:r>
            <w:proofErr w:type="spellEnd"/>
            <w:r w:rsidRPr="000F0794">
              <w:t xml:space="preserve"> de Vest din </w:t>
            </w:r>
            <w:proofErr w:type="spellStart"/>
            <w:r w:rsidRPr="000F0794">
              <w:t>Timișoara</w:t>
            </w:r>
            <w:proofErr w:type="spellEnd"/>
            <w:r w:rsidRPr="000F0794">
              <w:t xml:space="preserve">), </w:t>
            </w:r>
            <w:proofErr w:type="spellStart"/>
            <w:r w:rsidRPr="000F0794">
              <w:t>Blv</w:t>
            </w:r>
            <w:proofErr w:type="spellEnd"/>
            <w:r w:rsidRPr="000F0794">
              <w:t xml:space="preserve">. V. </w:t>
            </w:r>
            <w:proofErr w:type="spellStart"/>
            <w:r w:rsidRPr="000F0794">
              <w:t>Pârvan</w:t>
            </w:r>
            <w:proofErr w:type="spellEnd"/>
            <w:r w:rsidRPr="000F0794">
              <w:t xml:space="preserve"> 4, 300223, </w:t>
            </w:r>
            <w:proofErr w:type="spellStart"/>
            <w:r w:rsidRPr="000F0794">
              <w:t>Timișoara</w:t>
            </w:r>
            <w:proofErr w:type="spellEnd"/>
            <w:r w:rsidRPr="000F0794">
              <w:t xml:space="preserve">, ROMÂNIA, </w:t>
            </w:r>
            <w:r>
              <w:t>(and</w:t>
            </w:r>
            <w:r w:rsidRPr="000F0794">
              <w:t xml:space="preserve"> Advanced Environmental Research Laboratories (</w:t>
            </w:r>
            <w:proofErr w:type="spellStart"/>
            <w:r w:rsidRPr="000F0794">
              <w:t>Laboratoarele</w:t>
            </w:r>
            <w:proofErr w:type="spellEnd"/>
            <w:r w:rsidRPr="000F0794">
              <w:t xml:space="preserve"> de </w:t>
            </w:r>
            <w:proofErr w:type="spellStart"/>
            <w:r w:rsidRPr="000F0794">
              <w:t>Cercetari</w:t>
            </w:r>
            <w:proofErr w:type="spellEnd"/>
            <w:r w:rsidRPr="000F0794">
              <w:t xml:space="preserve"> </w:t>
            </w:r>
            <w:proofErr w:type="spellStart"/>
            <w:r w:rsidRPr="000F0794">
              <w:t>Avansate</w:t>
            </w:r>
            <w:proofErr w:type="spellEnd"/>
            <w:r w:rsidRPr="000F0794">
              <w:t xml:space="preserve"> de </w:t>
            </w:r>
            <w:proofErr w:type="spellStart"/>
            <w:r w:rsidRPr="000F0794">
              <w:t>Mediu</w:t>
            </w:r>
            <w:proofErr w:type="spellEnd"/>
            <w:r w:rsidRPr="000F0794">
              <w:t xml:space="preserve">), Str. </w:t>
            </w:r>
            <w:proofErr w:type="spellStart"/>
            <w:r w:rsidRPr="000F0794">
              <w:t>Oituz</w:t>
            </w:r>
            <w:proofErr w:type="spellEnd"/>
            <w:r w:rsidRPr="000F0794">
              <w:t xml:space="preserve"> 4, 300086, Timisoara, ROMÂNIA</w:t>
            </w:r>
            <w:r>
              <w:t>, the place of project implementation)</w:t>
            </w:r>
          </w:p>
        </w:tc>
      </w:tr>
      <w:tr w:rsidR="000F0794" w:rsidRPr="00864FE5" w14:paraId="41360362" w14:textId="77777777" w:rsidTr="0006790A">
        <w:trPr>
          <w:jc w:val="center"/>
        </w:trPr>
        <w:tc>
          <w:tcPr>
            <w:tcW w:w="3261" w:type="dxa"/>
            <w:shd w:val="pct10" w:color="auto" w:fill="FFFFFF"/>
          </w:tcPr>
          <w:p w14:paraId="723D9625" w14:textId="33280DFD" w:rsidR="000F0794" w:rsidRPr="00864FE5" w:rsidRDefault="0006790A" w:rsidP="0006790A">
            <w:r>
              <w:t>Tel (fax)</w:t>
            </w:r>
          </w:p>
        </w:tc>
        <w:tc>
          <w:tcPr>
            <w:tcW w:w="5930" w:type="dxa"/>
          </w:tcPr>
          <w:p w14:paraId="3FB5EC46" w14:textId="3977CEC3" w:rsidR="000F0794" w:rsidRPr="00EA699E" w:rsidRDefault="0006790A" w:rsidP="0006790A">
            <w:r>
              <w:t>+40755240153</w:t>
            </w:r>
          </w:p>
        </w:tc>
      </w:tr>
      <w:tr w:rsidR="000F0794" w:rsidRPr="00864FE5" w14:paraId="3DF618F6" w14:textId="77777777" w:rsidTr="0006790A">
        <w:trPr>
          <w:jc w:val="center"/>
        </w:trPr>
        <w:tc>
          <w:tcPr>
            <w:tcW w:w="3261" w:type="dxa"/>
            <w:shd w:val="pct10" w:color="auto" w:fill="FFFFFF"/>
          </w:tcPr>
          <w:p w14:paraId="502CAB28" w14:textId="77777777" w:rsidR="000F0794" w:rsidRPr="00864FE5" w:rsidRDefault="000F0794" w:rsidP="0006790A">
            <w:r w:rsidRPr="00864FE5">
              <w:t>e-mail:</w:t>
            </w:r>
          </w:p>
        </w:tc>
        <w:tc>
          <w:tcPr>
            <w:tcW w:w="5930" w:type="dxa"/>
          </w:tcPr>
          <w:p w14:paraId="5CAEEE3A" w14:textId="593961F9" w:rsidR="000F0794" w:rsidRPr="00EA699E" w:rsidRDefault="00714C17" w:rsidP="0006790A">
            <w:pPr>
              <w:rPr>
                <w:color w:val="000000"/>
                <w:lang w:val="en-US"/>
              </w:rPr>
            </w:pPr>
            <w:hyperlink r:id="rId8" w:history="1">
              <w:r w:rsidR="0006790A" w:rsidRPr="00035C5C">
                <w:rPr>
                  <w:rStyle w:val="Hyperlink"/>
                </w:rPr>
                <w:t>vasile.ostafe@e-uvt.ro</w:t>
              </w:r>
            </w:hyperlink>
            <w:r w:rsidR="0006790A">
              <w:t xml:space="preserve"> (or </w:t>
            </w:r>
            <w:hyperlink r:id="rId9" w:history="1">
              <w:r w:rsidR="0006790A" w:rsidRPr="00035C5C">
                <w:rPr>
                  <w:rStyle w:val="Hyperlink"/>
                </w:rPr>
                <w:t>vostafe@yahoo.com</w:t>
              </w:r>
            </w:hyperlink>
          </w:p>
        </w:tc>
      </w:tr>
    </w:tbl>
    <w:p w14:paraId="252872CE" w14:textId="77777777" w:rsidR="000F0794" w:rsidRDefault="000F0794" w:rsidP="000F0794">
      <w:pPr>
        <w:rPr>
          <w:rFonts w:ascii="Times New Roman" w:hAnsi="Times New Roman"/>
        </w:rPr>
      </w:pPr>
    </w:p>
    <w:p w14:paraId="1BC90FB8" w14:textId="342A3391" w:rsidR="000F0794" w:rsidRPr="00864FE5" w:rsidRDefault="0006790A" w:rsidP="000F0794">
      <w:pPr>
        <w:rPr>
          <w:rFonts w:ascii="Times New Roman" w:hAnsi="Times New Roman"/>
        </w:rPr>
      </w:pPr>
      <w:r>
        <w:rPr>
          <w:rFonts w:ascii="Times New Roman" w:hAnsi="Times New Roman"/>
        </w:rPr>
        <w:t xml:space="preserve">4.2. Contact person for </w:t>
      </w:r>
      <w:r w:rsidR="000F0794" w:rsidRPr="00864FE5">
        <w:rPr>
          <w:rFonts w:ascii="Times New Roman" w:hAnsi="Times New Roman"/>
        </w:rPr>
        <w:t>the Contractor</w:t>
      </w:r>
    </w:p>
    <w:tbl>
      <w:tblPr>
        <w:tblW w:w="9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4"/>
        <w:gridCol w:w="5935"/>
      </w:tblGrid>
      <w:tr w:rsidR="000F0794" w:rsidRPr="00864FE5" w14:paraId="725DCDAD" w14:textId="77777777" w:rsidTr="0006790A">
        <w:trPr>
          <w:jc w:val="center"/>
        </w:trPr>
        <w:tc>
          <w:tcPr>
            <w:tcW w:w="3114" w:type="dxa"/>
            <w:shd w:val="pct10" w:color="auto" w:fill="FFFFFF"/>
          </w:tcPr>
          <w:p w14:paraId="0B6CD93E" w14:textId="77777777" w:rsidR="000F0794" w:rsidRPr="00864FE5" w:rsidRDefault="000F0794" w:rsidP="008620AE">
            <w:pPr>
              <w:rPr>
                <w:rFonts w:ascii="Times New Roman" w:hAnsi="Times New Roman"/>
              </w:rPr>
            </w:pPr>
            <w:r w:rsidRPr="00864FE5">
              <w:rPr>
                <w:rFonts w:ascii="Times New Roman" w:hAnsi="Times New Roman"/>
              </w:rPr>
              <w:t>Name:</w:t>
            </w:r>
          </w:p>
        </w:tc>
        <w:tc>
          <w:tcPr>
            <w:tcW w:w="5935" w:type="dxa"/>
          </w:tcPr>
          <w:p w14:paraId="69D6D95E" w14:textId="77777777" w:rsidR="000F0794" w:rsidRPr="00864FE5" w:rsidRDefault="000F0794" w:rsidP="008620AE">
            <w:pPr>
              <w:rPr>
                <w:rFonts w:ascii="Times New Roman" w:hAnsi="Times New Roman"/>
              </w:rPr>
            </w:pPr>
          </w:p>
        </w:tc>
      </w:tr>
      <w:tr w:rsidR="000F0794" w:rsidRPr="00864FE5" w14:paraId="0B08D3CF" w14:textId="77777777" w:rsidTr="0006790A">
        <w:trPr>
          <w:jc w:val="center"/>
        </w:trPr>
        <w:tc>
          <w:tcPr>
            <w:tcW w:w="3114" w:type="dxa"/>
            <w:shd w:val="pct10" w:color="auto" w:fill="FFFFFF"/>
          </w:tcPr>
          <w:p w14:paraId="13A86095" w14:textId="77777777" w:rsidR="000F0794" w:rsidRPr="00864FE5" w:rsidRDefault="000F0794" w:rsidP="008620AE">
            <w:pPr>
              <w:rPr>
                <w:rFonts w:ascii="Times New Roman" w:hAnsi="Times New Roman"/>
              </w:rPr>
            </w:pPr>
            <w:r w:rsidRPr="00864FE5">
              <w:rPr>
                <w:rFonts w:ascii="Times New Roman" w:hAnsi="Times New Roman"/>
              </w:rPr>
              <w:t>Address:</w:t>
            </w:r>
          </w:p>
        </w:tc>
        <w:tc>
          <w:tcPr>
            <w:tcW w:w="5935" w:type="dxa"/>
          </w:tcPr>
          <w:p w14:paraId="3D8DFBFC" w14:textId="77777777" w:rsidR="000F0794" w:rsidRPr="00864FE5" w:rsidRDefault="000F0794" w:rsidP="008620AE">
            <w:pPr>
              <w:rPr>
                <w:rFonts w:ascii="Times New Roman" w:hAnsi="Times New Roman"/>
              </w:rPr>
            </w:pPr>
          </w:p>
        </w:tc>
      </w:tr>
      <w:tr w:rsidR="000F0794" w:rsidRPr="00864FE5" w14:paraId="4D22959B" w14:textId="77777777" w:rsidTr="0006790A">
        <w:trPr>
          <w:jc w:val="center"/>
        </w:trPr>
        <w:tc>
          <w:tcPr>
            <w:tcW w:w="3114" w:type="dxa"/>
            <w:shd w:val="pct10" w:color="auto" w:fill="FFFFFF"/>
          </w:tcPr>
          <w:p w14:paraId="6CB256D5" w14:textId="77777777" w:rsidR="000F0794" w:rsidRPr="00864FE5" w:rsidRDefault="000F0794" w:rsidP="008620AE">
            <w:pPr>
              <w:rPr>
                <w:rFonts w:ascii="Times New Roman" w:hAnsi="Times New Roman"/>
              </w:rPr>
            </w:pPr>
            <w:r w:rsidRPr="00864FE5">
              <w:rPr>
                <w:rFonts w:ascii="Times New Roman" w:hAnsi="Times New Roman"/>
              </w:rPr>
              <w:t>Fax:</w:t>
            </w:r>
          </w:p>
        </w:tc>
        <w:tc>
          <w:tcPr>
            <w:tcW w:w="5935" w:type="dxa"/>
          </w:tcPr>
          <w:p w14:paraId="10BA10C8" w14:textId="77777777" w:rsidR="000F0794" w:rsidRPr="00864FE5" w:rsidRDefault="000F0794" w:rsidP="008620AE">
            <w:pPr>
              <w:rPr>
                <w:rFonts w:ascii="Times New Roman" w:hAnsi="Times New Roman"/>
              </w:rPr>
            </w:pPr>
          </w:p>
        </w:tc>
      </w:tr>
      <w:tr w:rsidR="000F0794" w:rsidRPr="00864FE5" w14:paraId="1234BD35" w14:textId="77777777" w:rsidTr="0006790A">
        <w:trPr>
          <w:jc w:val="center"/>
        </w:trPr>
        <w:tc>
          <w:tcPr>
            <w:tcW w:w="3114" w:type="dxa"/>
            <w:shd w:val="pct10" w:color="auto" w:fill="FFFFFF"/>
          </w:tcPr>
          <w:p w14:paraId="42D24A0E" w14:textId="77777777" w:rsidR="000F0794" w:rsidRPr="00864FE5" w:rsidRDefault="000F0794" w:rsidP="008620AE">
            <w:pPr>
              <w:rPr>
                <w:rFonts w:ascii="Times New Roman" w:hAnsi="Times New Roman"/>
              </w:rPr>
            </w:pPr>
            <w:r w:rsidRPr="00864FE5">
              <w:rPr>
                <w:rFonts w:ascii="Times New Roman" w:hAnsi="Times New Roman"/>
              </w:rPr>
              <w:t>e-mail:</w:t>
            </w:r>
          </w:p>
        </w:tc>
        <w:tc>
          <w:tcPr>
            <w:tcW w:w="5935" w:type="dxa"/>
          </w:tcPr>
          <w:p w14:paraId="186FC066" w14:textId="77777777" w:rsidR="000F0794" w:rsidRPr="00864FE5" w:rsidRDefault="000F0794" w:rsidP="008620AE">
            <w:pPr>
              <w:rPr>
                <w:rFonts w:ascii="Times New Roman" w:hAnsi="Times New Roman"/>
              </w:rPr>
            </w:pPr>
          </w:p>
        </w:tc>
      </w:tr>
    </w:tbl>
    <w:p w14:paraId="0C4B5DEB" w14:textId="77777777" w:rsidR="000F0794" w:rsidRPr="003D6B6C" w:rsidRDefault="000F0794" w:rsidP="000F0794">
      <w:pPr>
        <w:ind w:left="1134" w:hanging="567"/>
        <w:rPr>
          <w:rFonts w:ascii="Times New Roman" w:hAnsi="Times New Roman"/>
        </w:rPr>
      </w:pPr>
    </w:p>
    <w:p w14:paraId="425EB4AC" w14:textId="77777777" w:rsidR="000F0794" w:rsidRPr="003D6B6C" w:rsidRDefault="000F0794" w:rsidP="0006790A">
      <w:pPr>
        <w:pStyle w:val="Heading1"/>
      </w:pPr>
      <w:bookmarkStart w:id="3" w:name="_Toc124934898"/>
      <w:r w:rsidRPr="003D6B6C">
        <w:t>Article 7</w:t>
      </w:r>
      <w:r w:rsidRPr="003D6B6C">
        <w:tab/>
        <w:t>Supply of documents</w:t>
      </w:r>
      <w:bookmarkEnd w:id="3"/>
    </w:p>
    <w:p w14:paraId="4645FC15" w14:textId="07E54B40" w:rsidR="000F0794" w:rsidRPr="003D6B6C" w:rsidRDefault="000F0794" w:rsidP="0006790A">
      <w:pPr>
        <w:rPr>
          <w:b/>
        </w:rPr>
      </w:pPr>
      <w:bookmarkStart w:id="4" w:name="_Toc124934899"/>
      <w:r w:rsidRPr="00D15DCC">
        <w:t>The Contractor is obliged to ensure the original brochures with suitable technical specifications of goods, which is required by tender documentation.</w:t>
      </w:r>
      <w:r>
        <w:t xml:space="preserve"> </w:t>
      </w:r>
      <w:proofErr w:type="gramStart"/>
      <w:r w:rsidRPr="00D15DCC">
        <w:t>The Commercial guarantee certificate</w:t>
      </w:r>
      <w:r w:rsidR="0006790A">
        <w:t>s</w:t>
      </w:r>
      <w:r w:rsidRPr="00D15DCC">
        <w:t>,</w:t>
      </w:r>
      <w:proofErr w:type="gramEnd"/>
      <w:r w:rsidRPr="00D15DCC">
        <w:t xml:space="preserve"> issued according to the relevant </w:t>
      </w:r>
      <w:r w:rsidR="002348C1">
        <w:t>Romanian</w:t>
      </w:r>
      <w:r w:rsidRPr="00D15DCC">
        <w:t xml:space="preserve"> law</w:t>
      </w:r>
      <w:r w:rsidR="002348C1">
        <w:t>s</w:t>
      </w:r>
      <w:r w:rsidRPr="00D15DCC">
        <w:t xml:space="preserve"> covering the warranty period described in Article 32 - has to be submitted by the time of delivery as the latest.</w:t>
      </w:r>
    </w:p>
    <w:p w14:paraId="05E4840E" w14:textId="77777777" w:rsidR="000F0794" w:rsidRPr="003D6B6C" w:rsidRDefault="000F0794" w:rsidP="002348C1">
      <w:pPr>
        <w:pStyle w:val="Heading1"/>
      </w:pPr>
      <w:r w:rsidRPr="003D6B6C">
        <w:t>Article 8</w:t>
      </w:r>
      <w:r w:rsidRPr="003D6B6C">
        <w:tab/>
        <w:t>Assistance with local regulations</w:t>
      </w:r>
      <w:bookmarkEnd w:id="4"/>
    </w:p>
    <w:p w14:paraId="2AAAB912" w14:textId="77777777" w:rsidR="000F0794" w:rsidRPr="003D6B6C" w:rsidRDefault="000F0794" w:rsidP="000F0794">
      <w:pPr>
        <w:rPr>
          <w:rFonts w:ascii="Times New Roman" w:hAnsi="Times New Roman"/>
        </w:rPr>
      </w:pPr>
      <w:r>
        <w:rPr>
          <w:rFonts w:ascii="Times New Roman" w:hAnsi="Times New Roman"/>
        </w:rPr>
        <w:t>N/A</w:t>
      </w:r>
    </w:p>
    <w:p w14:paraId="728AB2EA" w14:textId="77777777" w:rsidR="000F0794" w:rsidRPr="003D6B6C" w:rsidRDefault="000F0794" w:rsidP="002348C1">
      <w:pPr>
        <w:pStyle w:val="Heading1"/>
      </w:pPr>
      <w:r w:rsidRPr="003D6B6C">
        <w:t>Article 9</w:t>
      </w:r>
      <w:r w:rsidRPr="003D6B6C">
        <w:tab/>
        <w:t>General Obligations</w:t>
      </w:r>
    </w:p>
    <w:p w14:paraId="4DFEB0DF" w14:textId="77777777" w:rsidR="000F0794" w:rsidRPr="003D6B6C" w:rsidRDefault="000F0794" w:rsidP="002348C1">
      <w:r w:rsidRPr="000A731F">
        <w:t>Please refer to article 9.9 of General Conditions for the corresponding requirements</w:t>
      </w:r>
    </w:p>
    <w:p w14:paraId="3ED42A36" w14:textId="77777777" w:rsidR="000F0794" w:rsidRPr="003D6B6C" w:rsidRDefault="000F0794" w:rsidP="002348C1">
      <w:pPr>
        <w:pStyle w:val="Heading1"/>
      </w:pPr>
      <w:bookmarkStart w:id="5" w:name="_Toc124934900"/>
      <w:r w:rsidRPr="003D6B6C">
        <w:t>Article 10</w:t>
      </w:r>
      <w:r w:rsidRPr="003D6B6C">
        <w:tab/>
        <w:t>Origin</w:t>
      </w:r>
      <w:bookmarkEnd w:id="5"/>
    </w:p>
    <w:p w14:paraId="41911A54" w14:textId="77777777" w:rsidR="00441502" w:rsidRPr="002C7E59" w:rsidRDefault="00441502" w:rsidP="00441502">
      <w:pPr>
        <w:rPr>
          <w:rFonts w:eastAsia="Calibri" w:cs="Arial"/>
          <w:lang w:val="en-US"/>
        </w:rPr>
      </w:pPr>
      <w:r w:rsidRPr="002C7E59">
        <w:rPr>
          <w:lang w:val="en-US"/>
        </w:rPr>
        <w:t xml:space="preserve">According to the Instruction for the Beneficiaries of the Interreg IPA CBC Romania-Serbia, starting from 25.09.2019, all natural persons or all legal persons can participate in public procurement procedures from any country, and all goods can originate from any country, irrespective of any thresholds, in case of all actions implemented in the framework of the Interreg IPA CBC Romania-Serbia </w:t>
      </w:r>
      <w:proofErr w:type="spellStart"/>
      <w:r w:rsidRPr="002C7E59">
        <w:rPr>
          <w:lang w:val="en-US"/>
        </w:rPr>
        <w:t>Programme</w:t>
      </w:r>
      <w:proofErr w:type="spellEnd"/>
      <w:r w:rsidRPr="002C7E59">
        <w:rPr>
          <w:lang w:val="en-US"/>
        </w:rPr>
        <w:t>.</w:t>
      </w:r>
    </w:p>
    <w:p w14:paraId="4CF61724" w14:textId="77777777" w:rsidR="000F0794" w:rsidRPr="003D6B6C" w:rsidRDefault="000F0794" w:rsidP="000F0794">
      <w:pPr>
        <w:pStyle w:val="Heading2"/>
        <w:numPr>
          <w:ilvl w:val="1"/>
          <w:numId w:val="0"/>
        </w:numPr>
        <w:ind w:left="1134" w:hanging="708"/>
        <w:rPr>
          <w:rFonts w:ascii="Times New Roman" w:hAnsi="Times New Roman"/>
        </w:rPr>
      </w:pPr>
    </w:p>
    <w:p w14:paraId="17E29427" w14:textId="77777777" w:rsidR="000F0794" w:rsidRPr="003D6B6C" w:rsidRDefault="000F0794" w:rsidP="002348C1">
      <w:pPr>
        <w:pStyle w:val="Heading1"/>
      </w:pPr>
      <w:bookmarkStart w:id="6" w:name="_Toc124934901"/>
      <w:r w:rsidRPr="003D6B6C">
        <w:t>Article 11</w:t>
      </w:r>
      <w:r w:rsidRPr="003D6B6C">
        <w:tab/>
        <w:t>Performance guarantee</w:t>
      </w:r>
      <w:bookmarkEnd w:id="6"/>
    </w:p>
    <w:p w14:paraId="6A5A4800" w14:textId="52089B97" w:rsidR="000F0794" w:rsidRPr="003D6B6C" w:rsidRDefault="000F0794" w:rsidP="002348C1">
      <w:r w:rsidRPr="00E12706">
        <w:t>11.1</w:t>
      </w:r>
      <w:r w:rsidRPr="00E12706">
        <w:tab/>
      </w:r>
      <w:r w:rsidR="002348C1" w:rsidRPr="002348C1">
        <w:t xml:space="preserve">The amount of the performance guarantee shall </w:t>
      </w:r>
      <w:r w:rsidR="002348C1" w:rsidRPr="00D70A52">
        <w:t xml:space="preserve">be 5 % of the total Contract price, including </w:t>
      </w:r>
      <w:r w:rsidR="002348C1" w:rsidRPr="002348C1">
        <w:t>any amounts stipulated in addenda to the Contract</w:t>
      </w:r>
      <w:r w:rsidRPr="00E12706">
        <w:t>.</w:t>
      </w:r>
    </w:p>
    <w:p w14:paraId="24890BCE" w14:textId="77777777" w:rsidR="000F0794" w:rsidRPr="003D6B6C" w:rsidRDefault="000F0794" w:rsidP="00C76E4D">
      <w:pPr>
        <w:pStyle w:val="Heading1"/>
      </w:pPr>
      <w:bookmarkStart w:id="7" w:name="_Toc124934902"/>
      <w:r w:rsidRPr="003D6B6C">
        <w:t>Article 12</w:t>
      </w:r>
      <w:r w:rsidRPr="003D6B6C">
        <w:tab/>
        <w:t>Liabilities and Insurance</w:t>
      </w:r>
      <w:bookmarkEnd w:id="7"/>
    </w:p>
    <w:p w14:paraId="3896B594" w14:textId="589CB48B" w:rsidR="000F0794" w:rsidRPr="003D6B6C" w:rsidRDefault="000F0794" w:rsidP="00C76E4D">
      <w:r w:rsidRPr="00C76E4D">
        <w:t>Please</w:t>
      </w:r>
      <w:r w:rsidRPr="00E12706">
        <w:t xml:space="preserve"> refer to article 12. of General Conditions for the corresponding requirements.</w:t>
      </w:r>
    </w:p>
    <w:p w14:paraId="41CF4F9B" w14:textId="0EC711BD" w:rsidR="000F0794" w:rsidRDefault="000F0794" w:rsidP="00C76E4D">
      <w:pPr>
        <w:rPr>
          <w:color w:val="222222"/>
          <w:lang w:val="en"/>
        </w:rPr>
      </w:pPr>
      <w:r w:rsidRPr="00E12706">
        <w:rPr>
          <w:color w:val="222222"/>
          <w:lang w:val="en"/>
        </w:rPr>
        <w:t>In the case of use of Incoterms, the Contractor shall provide transport insurance to the extent that it assumes transportation risks. The question of the extent of the risks assumed by the Contractor (seller) depends in particular on the Incoterms used:</w:t>
      </w:r>
    </w:p>
    <w:p w14:paraId="36A5E608" w14:textId="77777777" w:rsidR="00126AB4" w:rsidRPr="00126AB4" w:rsidRDefault="00126AB4" w:rsidP="00126AB4">
      <w:pPr>
        <w:pStyle w:val="ListParagraph"/>
        <w:numPr>
          <w:ilvl w:val="0"/>
          <w:numId w:val="33"/>
        </w:numPr>
        <w:rPr>
          <w:color w:val="222222"/>
          <w:lang w:val="en"/>
        </w:rPr>
      </w:pPr>
      <w:r w:rsidRPr="00126AB4">
        <w:rPr>
          <w:b/>
          <w:color w:val="222222"/>
          <w:lang w:val="en"/>
        </w:rPr>
        <w:t>DDP - Delivered Duty Paid:</w:t>
      </w:r>
      <w:r w:rsidRPr="00126AB4">
        <w:rPr>
          <w:color w:val="222222"/>
          <w:lang w:val="en"/>
        </w:rPr>
        <w:t xml:space="preserve"> Incoterm which imposes on the seller maximum obligations vis-à-vis transportation and loss risks and damage associated with the goods:</w:t>
      </w:r>
    </w:p>
    <w:p w14:paraId="7A6383D0" w14:textId="77777777" w:rsidR="000F0794" w:rsidRPr="003D6B6C" w:rsidRDefault="000F0794" w:rsidP="00C76E4D">
      <w:pPr>
        <w:rPr>
          <w:color w:val="222222"/>
          <w:lang w:val="en"/>
        </w:rPr>
      </w:pPr>
      <w:r w:rsidRPr="00E12706">
        <w:rPr>
          <w:i/>
          <w:iCs/>
        </w:rPr>
        <w:t xml:space="preserve">"the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w:t>
      </w:r>
      <w:r w:rsidRPr="00E12706">
        <w:rPr>
          <w:i/>
          <w:iCs/>
        </w:rPr>
        <w:lastRenderedPageBreak/>
        <w:t>only for export but also for import, to pay any duty for both export and import and to carry out all customs formalities."</w:t>
      </w:r>
      <w:r w:rsidRPr="00E12706">
        <w:rPr>
          <w:rStyle w:val="FootnoteReference"/>
          <w:i/>
          <w:iCs/>
          <w:sz w:val="22"/>
        </w:rPr>
        <w:footnoteReference w:id="1"/>
      </w:r>
      <w:r w:rsidRPr="00E12706">
        <w:rPr>
          <w:i/>
          <w:iCs/>
        </w:rPr>
        <w:t xml:space="preserve"> </w:t>
      </w:r>
      <w:r w:rsidRPr="00E12706">
        <w:rPr>
          <w:color w:val="222222"/>
          <w:lang w:val="en"/>
        </w:rPr>
        <w:t>The transfer of risks and costs occurs at the place of unloading of the goods at the agreed place of destination.</w:t>
      </w:r>
    </w:p>
    <w:p w14:paraId="56C4B7C0" w14:textId="77777777" w:rsidR="000F0794" w:rsidRPr="003D6B6C" w:rsidRDefault="000F0794" w:rsidP="00D63630">
      <w:pPr>
        <w:pStyle w:val="Heading1"/>
      </w:pPr>
      <w:bookmarkStart w:id="8" w:name="_Toc124934903"/>
      <w:r w:rsidRPr="003D6B6C">
        <w:t>Article 13</w:t>
      </w:r>
      <w:r w:rsidRPr="003D6B6C">
        <w:tab/>
      </w:r>
      <w:bookmarkEnd w:id="8"/>
      <w:r w:rsidRPr="003D6B6C">
        <w:t>Programme of implementation of tasks</w:t>
      </w:r>
    </w:p>
    <w:p w14:paraId="53CA1DE3" w14:textId="77777777" w:rsidR="000F0794" w:rsidRPr="003D6B6C" w:rsidRDefault="000F0794" w:rsidP="00D63630">
      <w:pPr>
        <w:rPr>
          <w:b/>
        </w:rPr>
      </w:pPr>
      <w:r w:rsidRPr="003D6B6C">
        <w:t>13.2</w:t>
      </w:r>
      <w:r w:rsidRPr="003D6B6C">
        <w:tab/>
      </w:r>
      <w:r w:rsidRPr="00667D0E">
        <w:t xml:space="preserve">The period of implementation of tasks </w:t>
      </w:r>
      <w:r w:rsidRPr="00E12706">
        <w:t xml:space="preserve">is </w:t>
      </w:r>
      <w:r>
        <w:t xml:space="preserve">60 </w:t>
      </w:r>
      <w:r w:rsidRPr="00E12706">
        <w:t>days, from contract signature</w:t>
      </w:r>
      <w:r>
        <w:t>.</w:t>
      </w:r>
    </w:p>
    <w:p w14:paraId="0BE95ED7" w14:textId="77777777" w:rsidR="000F0794" w:rsidRPr="003D6B6C" w:rsidRDefault="000F0794" w:rsidP="00D63630">
      <w:pPr>
        <w:pStyle w:val="Heading1"/>
      </w:pPr>
      <w:bookmarkStart w:id="9" w:name="_Toc124934904"/>
      <w:r w:rsidRPr="003D6B6C">
        <w:t>Article 14</w:t>
      </w:r>
      <w:r w:rsidRPr="003D6B6C">
        <w:tab/>
        <w:t>Contractor’s drawings</w:t>
      </w:r>
      <w:bookmarkEnd w:id="9"/>
    </w:p>
    <w:p w14:paraId="12E81BA0" w14:textId="77777777" w:rsidR="000F0794" w:rsidRPr="003D6B6C" w:rsidRDefault="000F0794" w:rsidP="00D63630">
      <w:r w:rsidRPr="003D6B6C">
        <w:t>14.1</w:t>
      </w:r>
      <w:r w:rsidRPr="003D6B6C">
        <w:tab/>
      </w:r>
      <w:r>
        <w:t>N/A</w:t>
      </w:r>
    </w:p>
    <w:p w14:paraId="6D788178" w14:textId="1D2EFF57" w:rsidR="000F0794" w:rsidRPr="003D6B6C" w:rsidRDefault="000F0794" w:rsidP="00D63630">
      <w:pPr>
        <w:pStyle w:val="Heading1"/>
      </w:pPr>
      <w:bookmarkStart w:id="10" w:name="_Toc124934905"/>
      <w:r w:rsidRPr="003D6B6C">
        <w:t>Article 15</w:t>
      </w:r>
      <w:r w:rsidRPr="003D6B6C">
        <w:tab/>
        <w:t>Sufficiency of tender prices</w:t>
      </w:r>
      <w:bookmarkEnd w:id="10"/>
    </w:p>
    <w:p w14:paraId="430BC936" w14:textId="77777777" w:rsidR="000F0794" w:rsidRPr="003D6B6C" w:rsidRDefault="000F0794" w:rsidP="00D63630">
      <w:r w:rsidRPr="003D6B6C">
        <w:t>15.1</w:t>
      </w:r>
      <w:r w:rsidRPr="003D6B6C">
        <w:tab/>
      </w:r>
      <w:r w:rsidRPr="00F938A1">
        <w:t>The prices in the contract are fixed and not subject to any revision</w:t>
      </w:r>
      <w:r>
        <w:t>.</w:t>
      </w:r>
    </w:p>
    <w:p w14:paraId="3632F6C2" w14:textId="77777777" w:rsidR="000F0794" w:rsidRPr="003D6B6C" w:rsidRDefault="000F0794" w:rsidP="00D63630">
      <w:pPr>
        <w:pStyle w:val="Heading1"/>
      </w:pPr>
      <w:r w:rsidRPr="003D6B6C">
        <w:t>Article 16</w:t>
      </w:r>
      <w:r w:rsidRPr="003D6B6C">
        <w:tab/>
        <w:t>Tax and customs arrangements</w:t>
      </w:r>
    </w:p>
    <w:p w14:paraId="5C3137A8" w14:textId="77777777" w:rsidR="000F0794" w:rsidRPr="00096788" w:rsidRDefault="000F0794" w:rsidP="00D63630">
      <w:r w:rsidRPr="003D6B6C">
        <w:t>16.1</w:t>
      </w:r>
      <w:r w:rsidRPr="003D6B6C">
        <w:tab/>
      </w:r>
      <w:r w:rsidRPr="00126AB4">
        <w:rPr>
          <w:b/>
        </w:rPr>
        <w:t>DDP - Delivered Duty Paid</w:t>
      </w:r>
      <w:r>
        <w:t xml:space="preserve">, </w:t>
      </w:r>
      <w:r w:rsidRPr="00096788">
        <w:t>Incoterm which imposes on the seller maximum obligations vis-à-vis transportation and loss risks and damage associated with the goods:</w:t>
      </w:r>
    </w:p>
    <w:p w14:paraId="6731174C" w14:textId="77777777" w:rsidR="000F0794" w:rsidRDefault="000F0794" w:rsidP="00D63630">
      <w:r w:rsidRPr="00096788">
        <w:t xml:space="preserve">             "the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  The transfer of risks and costs occurs at the place of unloading of the goods at the agreed place of destination.</w:t>
      </w:r>
    </w:p>
    <w:p w14:paraId="6157B4B2" w14:textId="77777777" w:rsidR="000F0794" w:rsidRPr="003D6B6C" w:rsidRDefault="000F0794" w:rsidP="00126AB4">
      <w:r w:rsidRPr="00126AB4">
        <w:t xml:space="preserve">16.2 </w:t>
      </w:r>
      <w:r w:rsidRPr="00126AB4">
        <w:tab/>
        <w:t>VAT included</w:t>
      </w:r>
    </w:p>
    <w:p w14:paraId="7CBBF4B1" w14:textId="77777777" w:rsidR="000F0794" w:rsidRPr="003D6B6C" w:rsidRDefault="000F0794" w:rsidP="00126AB4">
      <w:pPr>
        <w:pStyle w:val="Heading1"/>
      </w:pPr>
      <w:bookmarkStart w:id="11" w:name="_Toc124934906"/>
      <w:r w:rsidRPr="003D6B6C">
        <w:t>Article 17</w:t>
      </w:r>
      <w:r w:rsidRPr="003D6B6C">
        <w:tab/>
        <w:t>Patents and licences</w:t>
      </w:r>
      <w:bookmarkEnd w:id="11"/>
    </w:p>
    <w:p w14:paraId="51A716F2" w14:textId="77777777" w:rsidR="000F0794" w:rsidRPr="003D6B6C" w:rsidRDefault="000F0794" w:rsidP="00126AB4">
      <w:r w:rsidRPr="003D6B6C">
        <w:t>17.1</w:t>
      </w:r>
      <w:r w:rsidRPr="003D6B6C">
        <w:tab/>
      </w:r>
      <w:r w:rsidRPr="00096788">
        <w:t>Not applicable.</w:t>
      </w:r>
    </w:p>
    <w:p w14:paraId="12282A71" w14:textId="77777777" w:rsidR="000F0794" w:rsidRPr="003D6B6C" w:rsidRDefault="000F0794" w:rsidP="00126AB4">
      <w:pPr>
        <w:pStyle w:val="Heading1"/>
      </w:pPr>
      <w:bookmarkStart w:id="12" w:name="_Toc124934907"/>
      <w:r w:rsidRPr="003D6B6C">
        <w:t>Article 18</w:t>
      </w:r>
      <w:r w:rsidRPr="003D6B6C">
        <w:tab/>
        <w:t>Commencement order</w:t>
      </w:r>
      <w:bookmarkEnd w:id="12"/>
      <w:r w:rsidRPr="003D6B6C">
        <w:t xml:space="preserve"> </w:t>
      </w:r>
    </w:p>
    <w:p w14:paraId="29F0F370" w14:textId="77777777" w:rsidR="000F0794" w:rsidRPr="003D6B6C" w:rsidRDefault="000F0794" w:rsidP="00126AB4">
      <w:r w:rsidRPr="00096788">
        <w:t>18.1</w:t>
      </w:r>
      <w:r w:rsidRPr="00096788">
        <w:rPr>
          <w:b/>
        </w:rPr>
        <w:tab/>
      </w:r>
      <w:r w:rsidRPr="00864FE5">
        <w:t>The implementation of the tasks shall start on the date of contract signature by both parties</w:t>
      </w:r>
    </w:p>
    <w:p w14:paraId="1BB7E6FB" w14:textId="77777777" w:rsidR="000F0794" w:rsidRPr="003D6B6C" w:rsidRDefault="000F0794" w:rsidP="007B3462">
      <w:pPr>
        <w:pStyle w:val="Heading1"/>
      </w:pPr>
      <w:bookmarkStart w:id="13" w:name="_Toc124934908"/>
      <w:r w:rsidRPr="003D6B6C">
        <w:t>Article 19</w:t>
      </w:r>
      <w:r w:rsidRPr="003D6B6C">
        <w:tab/>
        <w:t>Period of implementation</w:t>
      </w:r>
      <w:bookmarkEnd w:id="13"/>
      <w:r w:rsidRPr="003D6B6C">
        <w:t xml:space="preserve"> of the tasks</w:t>
      </w:r>
    </w:p>
    <w:p w14:paraId="7924F61C" w14:textId="77777777" w:rsidR="000F0794" w:rsidRPr="007B3462" w:rsidRDefault="000F0794" w:rsidP="007B3462">
      <w:r w:rsidRPr="007B3462">
        <w:lastRenderedPageBreak/>
        <w:t>19.1</w:t>
      </w:r>
      <w:r w:rsidRPr="007B3462">
        <w:tab/>
        <w:t>Implementation period is 60 days</w:t>
      </w:r>
    </w:p>
    <w:p w14:paraId="1A028297" w14:textId="77777777" w:rsidR="000F0794" w:rsidRPr="003D6B6C" w:rsidRDefault="000F0794" w:rsidP="007B3462">
      <w:pPr>
        <w:pStyle w:val="Heading1"/>
      </w:pPr>
      <w:bookmarkStart w:id="14" w:name="_Toc124934910"/>
      <w:r w:rsidRPr="003D6B6C">
        <w:t>Article 24</w:t>
      </w:r>
      <w:r w:rsidRPr="003D6B6C">
        <w:tab/>
        <w:t>Quality of supplies</w:t>
      </w:r>
      <w:bookmarkEnd w:id="14"/>
    </w:p>
    <w:p w14:paraId="6D589C6A" w14:textId="77777777" w:rsidR="000F0794" w:rsidRPr="003D6B6C" w:rsidRDefault="000F0794" w:rsidP="007B3462">
      <w:r w:rsidRPr="00096788">
        <w:t>24.2</w:t>
      </w:r>
      <w:r w:rsidRPr="00096788">
        <w:tab/>
        <w:t>No preliminary technical acceptance is required</w:t>
      </w:r>
      <w:r>
        <w:t>.</w:t>
      </w:r>
    </w:p>
    <w:p w14:paraId="7B758C3C" w14:textId="77777777" w:rsidR="000F0794" w:rsidRPr="003D6B6C" w:rsidRDefault="000F0794" w:rsidP="00424F7E">
      <w:pPr>
        <w:pStyle w:val="Heading1"/>
      </w:pPr>
      <w:bookmarkStart w:id="15" w:name="_Toc124934911"/>
      <w:r w:rsidRPr="003D6B6C">
        <w:t>Article 25</w:t>
      </w:r>
      <w:r w:rsidRPr="003D6B6C">
        <w:tab/>
        <w:t>Inspection and testing</w:t>
      </w:r>
      <w:bookmarkEnd w:id="15"/>
    </w:p>
    <w:p w14:paraId="6791D234" w14:textId="2E928178" w:rsidR="000F0794" w:rsidRPr="003D6B6C" w:rsidRDefault="000F0794" w:rsidP="00424F7E">
      <w:pPr>
        <w:rPr>
          <w:b/>
        </w:rPr>
      </w:pPr>
      <w:r w:rsidRPr="003D6B6C">
        <w:t>25.2</w:t>
      </w:r>
      <w:r w:rsidRPr="003D6B6C">
        <w:tab/>
      </w:r>
      <w:r w:rsidRPr="00AA3131">
        <w:t>The inspection and testing prior to the provisional acceptance will take place at the locations where the goods are delivered</w:t>
      </w:r>
      <w:r w:rsidR="00424F7E">
        <w:t xml:space="preserve"> (i.e. </w:t>
      </w:r>
      <w:r w:rsidR="00424F7E" w:rsidRPr="00424F7E">
        <w:t>Advanced Environmental Research Laboratories (</w:t>
      </w:r>
      <w:proofErr w:type="spellStart"/>
      <w:r w:rsidR="00424F7E" w:rsidRPr="00424F7E">
        <w:t>Laboratoarele</w:t>
      </w:r>
      <w:proofErr w:type="spellEnd"/>
      <w:r w:rsidR="00424F7E" w:rsidRPr="00424F7E">
        <w:t xml:space="preserve"> de </w:t>
      </w:r>
      <w:proofErr w:type="spellStart"/>
      <w:r w:rsidR="00424F7E" w:rsidRPr="00424F7E">
        <w:t>Cercetari</w:t>
      </w:r>
      <w:proofErr w:type="spellEnd"/>
      <w:r w:rsidR="00424F7E" w:rsidRPr="00424F7E">
        <w:t xml:space="preserve"> </w:t>
      </w:r>
      <w:proofErr w:type="spellStart"/>
      <w:r w:rsidR="00424F7E" w:rsidRPr="00424F7E">
        <w:t>Avansate</w:t>
      </w:r>
      <w:proofErr w:type="spellEnd"/>
      <w:r w:rsidR="00424F7E" w:rsidRPr="00424F7E">
        <w:t xml:space="preserve"> de </w:t>
      </w:r>
      <w:proofErr w:type="spellStart"/>
      <w:r w:rsidR="00424F7E" w:rsidRPr="00424F7E">
        <w:t>Mediu</w:t>
      </w:r>
      <w:proofErr w:type="spellEnd"/>
      <w:r w:rsidR="00424F7E" w:rsidRPr="00424F7E">
        <w:t xml:space="preserve">), Str. </w:t>
      </w:r>
      <w:proofErr w:type="spellStart"/>
      <w:r w:rsidR="00424F7E" w:rsidRPr="00424F7E">
        <w:t>Oituz</w:t>
      </w:r>
      <w:proofErr w:type="spellEnd"/>
      <w:r w:rsidR="00424F7E" w:rsidRPr="00424F7E">
        <w:t xml:space="preserve"> 4, 300086, Timisoara, ROMÂNIA</w:t>
      </w:r>
      <w:r w:rsidR="00424F7E">
        <w:t>)</w:t>
      </w:r>
      <w:r w:rsidRPr="00AA3131">
        <w:t>. During the inspection and testing procedure, technical performances, the technical specifications, and technical documentation will be verified</w:t>
      </w:r>
      <w:r w:rsidR="00424F7E">
        <w:t>.</w:t>
      </w:r>
    </w:p>
    <w:p w14:paraId="603A1132" w14:textId="77777777" w:rsidR="000F0794" w:rsidRPr="003D6B6C" w:rsidRDefault="000F0794" w:rsidP="00424F7E">
      <w:pPr>
        <w:pStyle w:val="Heading1"/>
      </w:pPr>
      <w:bookmarkStart w:id="16" w:name="_Toc124934912"/>
      <w:r w:rsidRPr="003D6B6C">
        <w:t>Article 26</w:t>
      </w:r>
      <w:r w:rsidRPr="003D6B6C">
        <w:tab/>
      </w:r>
      <w:bookmarkEnd w:id="16"/>
      <w:r w:rsidRPr="003D6B6C">
        <w:t>General principles for payments</w:t>
      </w:r>
    </w:p>
    <w:p w14:paraId="2EB2921E" w14:textId="77777777" w:rsidR="000F0794" w:rsidRDefault="000F0794" w:rsidP="00424F7E">
      <w:r w:rsidRPr="003D6B6C">
        <w:t>26.1</w:t>
      </w:r>
      <w:r w:rsidRPr="003D6B6C">
        <w:tab/>
      </w:r>
      <w:r w:rsidRPr="005D0538">
        <w:t>The Contract will be concluded in the currency shown on the financial offer (specimen in Annex IV).</w:t>
      </w:r>
    </w:p>
    <w:p w14:paraId="139C5268" w14:textId="442FDDB8" w:rsidR="000F0794" w:rsidRDefault="000F0794" w:rsidP="00424F7E">
      <w:r w:rsidRPr="003D6B6C">
        <w:t>Payments shall be made in</w:t>
      </w:r>
      <w:r>
        <w:t xml:space="preserve"> </w:t>
      </w:r>
      <w:r w:rsidR="00D70A52">
        <w:t>RON</w:t>
      </w:r>
      <w:r>
        <w:t xml:space="preserve"> for </w:t>
      </w:r>
      <w:r w:rsidR="00D70A52">
        <w:t>Romanian</w:t>
      </w:r>
      <w:r>
        <w:t xml:space="preserve"> companies, and in EUR for the foreign companies. </w:t>
      </w:r>
    </w:p>
    <w:p w14:paraId="6F121A86" w14:textId="1AC9A1AC" w:rsidR="000F0794" w:rsidRPr="003D6B6C" w:rsidRDefault="000F0794" w:rsidP="00424F7E">
      <w:r>
        <w:tab/>
      </w:r>
      <w:r w:rsidRPr="0039078C">
        <w:rPr>
          <w:color w:val="000000"/>
        </w:rPr>
        <w:t>In case the contract is concluded in EURO, and payments are made in national currency</w:t>
      </w:r>
      <w:r w:rsidR="00D70A52">
        <w:rPr>
          <w:color w:val="000000"/>
        </w:rPr>
        <w:t xml:space="preserve"> (RON)</w:t>
      </w:r>
      <w:r w:rsidRPr="0039078C">
        <w:rPr>
          <w:color w:val="000000"/>
        </w:rPr>
        <w:t xml:space="preserve">, applicable exchange rate must be </w:t>
      </w:r>
      <w:proofErr w:type="spellStart"/>
      <w:r w:rsidRPr="0039078C">
        <w:rPr>
          <w:color w:val="000000"/>
        </w:rPr>
        <w:t>InforEuro</w:t>
      </w:r>
      <w:proofErr w:type="spellEnd"/>
      <w:r w:rsidRPr="0039078C">
        <w:rPr>
          <w:color w:val="000000"/>
        </w:rPr>
        <w:t xml:space="preserve"> exchange rate for the month of the issuing of invoice or pre-invoice in case of VAT exemption.</w:t>
      </w:r>
      <w:r>
        <w:t xml:space="preserve"> </w:t>
      </w:r>
    </w:p>
    <w:p w14:paraId="2490701B" w14:textId="77777777" w:rsidR="000F0794" w:rsidRPr="003D6B6C" w:rsidRDefault="000F0794" w:rsidP="00424F7E">
      <w:r>
        <w:tab/>
      </w:r>
      <w:r w:rsidRPr="003D6B6C">
        <w:t xml:space="preserve">Payments shall be authorised and made by </w:t>
      </w:r>
      <w:r>
        <w:t>the Contracting Authority.</w:t>
      </w:r>
    </w:p>
    <w:p w14:paraId="5429852A" w14:textId="77777777" w:rsidR="000F0794" w:rsidRPr="003D6B6C" w:rsidRDefault="000F0794" w:rsidP="00424F7E">
      <w:r w:rsidRPr="00FB529D">
        <w:t>26.3</w:t>
      </w:r>
      <w:r w:rsidRPr="00FB529D">
        <w:tab/>
        <w:t xml:space="preserve">By derogation, the final payment to the Contractor of the amounts due shall be made within </w:t>
      </w:r>
      <w:r>
        <w:t>9</w:t>
      </w:r>
      <w:r w:rsidRPr="00FB529D">
        <w:t>0 days after receipt by the Contracting Authority of an invoice and of the application for the certificate of provisional acceptance.</w:t>
      </w:r>
    </w:p>
    <w:p w14:paraId="57E66F6D" w14:textId="77777777" w:rsidR="000F0794" w:rsidRPr="003D6B6C" w:rsidRDefault="000F0794" w:rsidP="00424F7E">
      <w:r w:rsidRPr="003D6B6C">
        <w:t>26.5</w:t>
      </w:r>
      <w:r w:rsidRPr="003D6B6C">
        <w:tab/>
        <w:t>In order to obtain payments, the Contractor must forward to the authority referred to in paragraph 26.1 above:</w:t>
      </w:r>
    </w:p>
    <w:p w14:paraId="3E4D9A44" w14:textId="7F3B5753" w:rsidR="000F0794" w:rsidRDefault="000F0794" w:rsidP="00141FEB">
      <w:pPr>
        <w:pStyle w:val="ListParagraph"/>
        <w:numPr>
          <w:ilvl w:val="0"/>
          <w:numId w:val="33"/>
        </w:numPr>
      </w:pPr>
      <w:r>
        <w:t>For the final payment</w:t>
      </w:r>
      <w:r w:rsidRPr="003D6B6C">
        <w:t xml:space="preserve">, the invoice together with the request for </w:t>
      </w:r>
      <w:r>
        <w:t xml:space="preserve">provisional </w:t>
      </w:r>
      <w:r w:rsidRPr="003D6B6C">
        <w:t>acceptance of the s</w:t>
      </w:r>
      <w:r>
        <w:t>upplies</w:t>
      </w:r>
      <w:r w:rsidR="00141FEB">
        <w:t>.</w:t>
      </w:r>
    </w:p>
    <w:p w14:paraId="4223EB3C" w14:textId="3013B609" w:rsidR="000F0794" w:rsidRPr="003D6B6C" w:rsidRDefault="000F0794" w:rsidP="00424F7E">
      <w:pPr>
        <w:rPr>
          <w:b/>
        </w:rPr>
      </w:pPr>
      <w:r w:rsidRPr="003D6B6C">
        <w:t>26.9</w:t>
      </w:r>
      <w:r w:rsidRPr="003D6B6C">
        <w:rPr>
          <w:b/>
        </w:rPr>
        <w:tab/>
      </w:r>
      <w:r w:rsidRPr="00A42F3B">
        <w:rPr>
          <w:color w:val="000000"/>
        </w:rPr>
        <w:t>This contract does not include a price revision clause</w:t>
      </w:r>
      <w:r w:rsidR="00141FEB">
        <w:rPr>
          <w:color w:val="000000"/>
        </w:rPr>
        <w:t>.</w:t>
      </w:r>
    </w:p>
    <w:p w14:paraId="7704300A" w14:textId="77777777" w:rsidR="000F0794" w:rsidRPr="003D6B6C" w:rsidRDefault="000F0794" w:rsidP="00141FEB">
      <w:pPr>
        <w:pStyle w:val="Heading1"/>
      </w:pPr>
      <w:bookmarkStart w:id="17" w:name="_Toc124934913"/>
      <w:r w:rsidRPr="003D6B6C">
        <w:t>Article 29</w:t>
      </w:r>
      <w:r w:rsidRPr="003D6B6C">
        <w:tab/>
        <w:t>Delivery</w:t>
      </w:r>
      <w:bookmarkEnd w:id="17"/>
    </w:p>
    <w:p w14:paraId="76B3E844" w14:textId="77777777" w:rsidR="000F0794" w:rsidRPr="003D6B6C" w:rsidRDefault="000F0794" w:rsidP="00141FEB">
      <w:r>
        <w:t>N/A</w:t>
      </w:r>
    </w:p>
    <w:p w14:paraId="6EE263A0" w14:textId="77777777" w:rsidR="000F0794" w:rsidRPr="003D6B6C" w:rsidRDefault="000F0794" w:rsidP="00141FEB">
      <w:pPr>
        <w:pStyle w:val="Heading1"/>
      </w:pPr>
      <w:bookmarkStart w:id="18" w:name="_Toc124934914"/>
      <w:r w:rsidRPr="003D6B6C">
        <w:t>Article 31</w:t>
      </w:r>
      <w:r w:rsidRPr="003D6B6C">
        <w:tab/>
        <w:t>Provisional acceptance</w:t>
      </w:r>
      <w:bookmarkEnd w:id="18"/>
    </w:p>
    <w:p w14:paraId="7E14D2C1" w14:textId="77777777" w:rsidR="000F0794" w:rsidRPr="003D6B6C" w:rsidRDefault="000F0794" w:rsidP="00141FEB">
      <w:r w:rsidRPr="003D6B6C">
        <w:t xml:space="preserve">The Certificate of Provisional Acceptance must be issued using the template in Annex C11. </w:t>
      </w:r>
    </w:p>
    <w:p w14:paraId="7FE62A06" w14:textId="77777777" w:rsidR="000F0794" w:rsidRPr="003D6B6C" w:rsidRDefault="000F0794" w:rsidP="00141FEB">
      <w:pPr>
        <w:pStyle w:val="Heading1"/>
      </w:pPr>
      <w:bookmarkStart w:id="19" w:name="_Toc124934915"/>
      <w:r w:rsidRPr="003D6B6C">
        <w:t>Article 32</w:t>
      </w:r>
      <w:r w:rsidRPr="003D6B6C">
        <w:tab/>
        <w:t>Warranty</w:t>
      </w:r>
      <w:bookmarkEnd w:id="19"/>
      <w:r w:rsidRPr="003D6B6C">
        <w:t xml:space="preserve"> obligations</w:t>
      </w:r>
    </w:p>
    <w:p w14:paraId="3BE72862" w14:textId="2C3F303D" w:rsidR="000F0794" w:rsidRDefault="00576CBA" w:rsidP="00141FEB">
      <w:r>
        <w:lastRenderedPageBreak/>
        <w:t>32.1</w:t>
      </w:r>
      <w:r w:rsidR="000F0794" w:rsidRPr="003D6B6C">
        <w:tab/>
      </w:r>
      <w:r w:rsidR="000F0794" w:rsidRPr="000675F6">
        <w:t>The Contractor shall warrant that the supplies are new, unused, of the most recent models and incorporate all recent improvements in design and materials. The Contractor shall further warrant that none of the supplies have any defect arising from design, materials or workmanship.</w:t>
      </w:r>
    </w:p>
    <w:p w14:paraId="6C3D9244" w14:textId="5EA3CF5C" w:rsidR="00576CBA" w:rsidRPr="003D6B6C" w:rsidRDefault="007E29D8" w:rsidP="00141FEB">
      <w:r>
        <w:t xml:space="preserve">32.3. </w:t>
      </w:r>
      <w:r>
        <w:tab/>
      </w:r>
      <w:r w:rsidR="00576CBA">
        <w:t>The Contractor shall at its own cost make good the defect or damage as soon as practicable. The warranty period for all items replaced or repaired shall recommence from the date when the replacement or repair was made to the satisfaction of the Project Manager. If the contract provides for partial acceptance, the warranty period shall be extended only for the part of the supplies affected by the replacement or repair.</w:t>
      </w:r>
    </w:p>
    <w:p w14:paraId="2E05095A" w14:textId="4053C046" w:rsidR="000F0794" w:rsidRPr="00515EFF" w:rsidRDefault="000F0794" w:rsidP="00141FEB">
      <w:r w:rsidRPr="003D6B6C">
        <w:t>32.7</w:t>
      </w:r>
      <w:r w:rsidRPr="003D6B6C">
        <w:tab/>
      </w:r>
      <w:r w:rsidRPr="00FB529D">
        <w:t xml:space="preserve">The warranty must remain valid </w:t>
      </w:r>
      <w:r w:rsidR="00515EFF" w:rsidRPr="00515EFF">
        <w:t>until</w:t>
      </w:r>
      <w:r w:rsidR="00441502" w:rsidRPr="00515EFF">
        <w:t xml:space="preserve"> </w:t>
      </w:r>
      <w:r w:rsidR="00515EFF" w:rsidRPr="00515EFF">
        <w:t>October</w:t>
      </w:r>
      <w:r w:rsidR="00441502" w:rsidRPr="00515EFF">
        <w:t xml:space="preserve"> </w:t>
      </w:r>
      <w:bookmarkStart w:id="20" w:name="_GoBack"/>
      <w:r w:rsidR="00441502" w:rsidRPr="00515EFF">
        <w:t>2021</w:t>
      </w:r>
      <w:bookmarkEnd w:id="20"/>
      <w:r w:rsidR="00515EFF" w:rsidRPr="00515EFF">
        <w:t xml:space="preserve"> (date of end of implementation of the project)</w:t>
      </w:r>
      <w:r w:rsidR="007E29D8" w:rsidRPr="00515EFF">
        <w:t>. The warranty period shall commence on the date of provisional acceptance and may recommence in accordance with Article 32.3.</w:t>
      </w:r>
    </w:p>
    <w:p w14:paraId="12447BB1" w14:textId="77777777" w:rsidR="000F0794" w:rsidRPr="003D6B6C" w:rsidRDefault="000F0794" w:rsidP="007E29D8">
      <w:pPr>
        <w:pStyle w:val="Heading1"/>
      </w:pPr>
      <w:bookmarkStart w:id="21" w:name="_Toc119839451"/>
      <w:bookmarkStart w:id="22" w:name="_Toc124934916"/>
      <w:r w:rsidRPr="003D6B6C">
        <w:t>Article 33</w:t>
      </w:r>
      <w:r w:rsidRPr="003D6B6C">
        <w:tab/>
        <w:t>After-sales service</w:t>
      </w:r>
      <w:bookmarkEnd w:id="21"/>
      <w:bookmarkEnd w:id="22"/>
    </w:p>
    <w:p w14:paraId="6849FF67" w14:textId="6A62FF38" w:rsidR="000F0794" w:rsidRPr="003D6B6C" w:rsidRDefault="007E29D8" w:rsidP="007E29D8">
      <w:r>
        <w:t xml:space="preserve">As specified in General Conditions, and depending of the type of goods, as </w:t>
      </w:r>
      <w:r w:rsidR="00855A95">
        <w:t>appropriate</w:t>
      </w:r>
      <w:r>
        <w:t xml:space="preserve">. </w:t>
      </w:r>
    </w:p>
    <w:p w14:paraId="79D804E8" w14:textId="77777777" w:rsidR="000F0794" w:rsidRPr="003D6B6C" w:rsidRDefault="000F0794" w:rsidP="007E29D8">
      <w:pPr>
        <w:pStyle w:val="Heading1"/>
      </w:pPr>
      <w:bookmarkStart w:id="23" w:name="_Toc124934917"/>
      <w:r w:rsidRPr="003D6B6C">
        <w:t>Article 40</w:t>
      </w:r>
      <w:r w:rsidRPr="003D6B6C">
        <w:tab/>
        <w:t>Settlement of disputes</w:t>
      </w:r>
      <w:bookmarkEnd w:id="23"/>
    </w:p>
    <w:p w14:paraId="6F412719" w14:textId="7804B232" w:rsidR="000F0794" w:rsidRPr="003D6B6C" w:rsidRDefault="000E0693" w:rsidP="007E29D8">
      <w:pPr>
        <w:rPr>
          <w:highlight w:val="yellow"/>
        </w:rPr>
      </w:pPr>
      <w:r>
        <w:t>40.4.</w:t>
      </w:r>
      <w:r>
        <w:tab/>
      </w:r>
      <w:r w:rsidR="000F0794" w:rsidRPr="00AA3131">
        <w:t xml:space="preserve">Any disputes arising out of or relating to this contract which cannot be settled otherwise shall be referred to the exclusive jurisdiction of relevant court of law in </w:t>
      </w:r>
      <w:r>
        <w:t>Romania</w:t>
      </w:r>
      <w:r w:rsidR="000F0794" w:rsidRPr="00AA3131">
        <w:t xml:space="preserve"> applying the national legislation of the Contracting Authority</w:t>
      </w:r>
    </w:p>
    <w:p w14:paraId="3185DCCC" w14:textId="77777777" w:rsidR="000F0794" w:rsidRPr="00FB529D" w:rsidRDefault="000F0794" w:rsidP="000E0693">
      <w:pPr>
        <w:pStyle w:val="Heading1"/>
      </w:pPr>
      <w:r w:rsidRPr="00FB529D">
        <w:t>Article 44</w:t>
      </w:r>
      <w:r w:rsidRPr="00FB529D">
        <w:tab/>
        <w:t>Data Protection</w:t>
      </w:r>
    </w:p>
    <w:p w14:paraId="77745B8B" w14:textId="77777777" w:rsidR="000F0794" w:rsidRPr="003D6B6C" w:rsidRDefault="000F0794" w:rsidP="000E0693">
      <w:r w:rsidRPr="00FB529D">
        <w:t>Not applicable.</w:t>
      </w:r>
    </w:p>
    <w:p w14:paraId="45E8D0BE" w14:textId="77777777" w:rsidR="000F0794" w:rsidRPr="003D6B6C" w:rsidRDefault="000F0794" w:rsidP="000F0794">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0F0794" w:rsidRPr="003D6B6C" w:rsidSect="00F77E71">
      <w:headerReference w:type="default" r:id="rId10"/>
      <w:footerReference w:type="default" r:id="rId11"/>
      <w:type w:val="continuous"/>
      <w:pgSz w:w="11906" w:h="16838" w:code="9"/>
      <w:pgMar w:top="1701" w:right="851"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8BE17B" w14:textId="77777777" w:rsidR="00714C17" w:rsidRDefault="00714C17" w:rsidP="00B21DEB">
      <w:r>
        <w:separator/>
      </w:r>
    </w:p>
  </w:endnote>
  <w:endnote w:type="continuationSeparator" w:id="0">
    <w:p w14:paraId="37926038" w14:textId="77777777" w:rsidR="00714C17" w:rsidRDefault="00714C17" w:rsidP="00B21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5EAE0" w14:textId="096D05C3" w:rsidR="007A7452" w:rsidRPr="007A7452" w:rsidRDefault="007A7452" w:rsidP="00B21DEB">
    <w:pPr>
      <w:pStyle w:val="Footer"/>
    </w:pPr>
  </w:p>
  <w:tbl>
    <w:tblPr>
      <w:tblStyle w:val="TableGrid"/>
      <w:tblW w:w="10065" w:type="dxa"/>
      <w:tblBorders>
        <w:top w:val="single" w:sz="24" w:space="0" w:color="0070C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8369"/>
    </w:tblGrid>
    <w:tr w:rsidR="001F2AFE" w:rsidRPr="00EA77C6" w14:paraId="43F3DDA9" w14:textId="77777777" w:rsidTr="00EA77C6">
      <w:trPr>
        <w:trHeight w:val="698"/>
      </w:trPr>
      <w:tc>
        <w:tcPr>
          <w:tcW w:w="1696" w:type="dxa"/>
          <w:vMerge w:val="restart"/>
        </w:tcPr>
        <w:p w14:paraId="24215C7D" w14:textId="12124DDF" w:rsidR="001F2AFE" w:rsidRDefault="001F2AFE" w:rsidP="00B21DEB">
          <w:pPr>
            <w:pStyle w:val="Footer"/>
          </w:pPr>
          <w:r>
            <w:rPr>
              <w:noProof/>
              <w:lang w:val="ro-RO" w:eastAsia="ro-RO"/>
            </w:rPr>
            <w:drawing>
              <wp:anchor distT="0" distB="0" distL="114300" distR="114300" simplePos="0" relativeHeight="251769856" behindDoc="0" locked="0" layoutInCell="1" allowOverlap="1" wp14:anchorId="634225CC" wp14:editId="62613176">
                <wp:simplePos x="0" y="0"/>
                <wp:positionH relativeFrom="column">
                  <wp:posOffset>20955</wp:posOffset>
                </wp:positionH>
                <wp:positionV relativeFrom="paragraph">
                  <wp:posOffset>115266</wp:posOffset>
                </wp:positionV>
                <wp:extent cx="900000" cy="720000"/>
                <wp:effectExtent l="0" t="0" r="0" b="4445"/>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Proiect&amp;Partners.jpg"/>
                        <pic:cNvPicPr/>
                      </pic:nvPicPr>
                      <pic:blipFill>
                        <a:blip r:embed="rId1">
                          <a:extLst>
                            <a:ext uri="{28A0092B-C50C-407E-A947-70E740481C1C}">
                              <a14:useLocalDpi xmlns:a14="http://schemas.microsoft.com/office/drawing/2010/main" val="0"/>
                            </a:ext>
                          </a:extLst>
                        </a:blip>
                        <a:stretch>
                          <a:fillRect/>
                        </a:stretch>
                      </pic:blipFill>
                      <pic:spPr>
                        <a:xfrm>
                          <a:off x="0" y="0"/>
                          <a:ext cx="900000" cy="720000"/>
                        </a:xfrm>
                        <a:prstGeom prst="rect">
                          <a:avLst/>
                        </a:prstGeom>
                      </pic:spPr>
                    </pic:pic>
                  </a:graphicData>
                </a:graphic>
                <wp14:sizeRelH relativeFrom="margin">
                  <wp14:pctWidth>0</wp14:pctWidth>
                </wp14:sizeRelH>
                <wp14:sizeRelV relativeFrom="margin">
                  <wp14:pctHeight>0</wp14:pctHeight>
                </wp14:sizeRelV>
              </wp:anchor>
            </w:drawing>
          </w:r>
        </w:p>
      </w:tc>
      <w:tc>
        <w:tcPr>
          <w:tcW w:w="8369" w:type="dxa"/>
        </w:tcPr>
        <w:p w14:paraId="5BDEE715" w14:textId="6418AC02" w:rsidR="001F2AFE" w:rsidRPr="00EA77C6" w:rsidRDefault="001F2AFE" w:rsidP="00B21DEB"/>
        <w:p w14:paraId="4261EBB4" w14:textId="66F6F036" w:rsidR="001F2AFE" w:rsidRPr="00EA77C6" w:rsidRDefault="001F2AFE" w:rsidP="00B21DEB">
          <w:pPr>
            <w:pStyle w:val="Footer"/>
          </w:pPr>
          <w:r w:rsidRPr="00EA77C6">
            <w:t>Cooperation beyond borders.</w:t>
          </w:r>
        </w:p>
        <w:p w14:paraId="2EE5E0F5" w14:textId="2ADFF088" w:rsidR="001F2AFE" w:rsidRPr="00EA77C6" w:rsidRDefault="001F2AFE" w:rsidP="00B21DEB">
          <w:pPr>
            <w:pStyle w:val="Footer"/>
          </w:pPr>
          <w:r w:rsidRPr="00EA77C6">
            <w:t>Interreg-IPA Cross-border Cooperation Romania-Serbia Programme is financed by the European Union under the Instrument for Pre-accession Assistance (IPA II) and co-financed by the partner states in the Programme.</w:t>
          </w:r>
        </w:p>
      </w:tc>
    </w:tr>
    <w:tr w:rsidR="001F2AFE" w:rsidRPr="00EA77C6" w14:paraId="128FC169" w14:textId="77777777" w:rsidTr="00EA77C6">
      <w:trPr>
        <w:trHeight w:val="697"/>
      </w:trPr>
      <w:tc>
        <w:tcPr>
          <w:tcW w:w="1696" w:type="dxa"/>
          <w:vMerge/>
        </w:tcPr>
        <w:p w14:paraId="3C1B5035" w14:textId="77777777" w:rsidR="001F2AFE" w:rsidRDefault="001F2AFE" w:rsidP="00B21DEB">
          <w:pPr>
            <w:pStyle w:val="Footer"/>
            <w:rPr>
              <w:noProof/>
            </w:rPr>
          </w:pPr>
        </w:p>
      </w:tc>
      <w:tc>
        <w:tcPr>
          <w:tcW w:w="8369" w:type="dxa"/>
        </w:tcPr>
        <w:p w14:paraId="7EE0D672" w14:textId="3C94D583" w:rsidR="001F2AFE" w:rsidRPr="00EA77C6" w:rsidRDefault="001F2AFE" w:rsidP="00B21DEB">
          <w:r w:rsidRPr="00EA77C6">
            <w:rPr>
              <w:noProof/>
              <w:lang w:val="ro-RO" w:eastAsia="ro-RO"/>
            </w:rPr>
            <mc:AlternateContent>
              <mc:Choice Requires="wps">
                <w:drawing>
                  <wp:anchor distT="0" distB="0" distL="114300" distR="114300" simplePos="0" relativeHeight="251770880" behindDoc="0" locked="0" layoutInCell="1" allowOverlap="1" wp14:anchorId="43078306" wp14:editId="2029959F">
                    <wp:simplePos x="0" y="0"/>
                    <wp:positionH relativeFrom="column">
                      <wp:posOffset>3601721</wp:posOffset>
                    </wp:positionH>
                    <wp:positionV relativeFrom="paragraph">
                      <wp:posOffset>192405</wp:posOffset>
                    </wp:positionV>
                    <wp:extent cx="1220470" cy="1828800"/>
                    <wp:effectExtent l="0" t="0" r="0" b="4445"/>
                    <wp:wrapNone/>
                    <wp:docPr id="1" name="Text Box 1"/>
                    <wp:cNvGraphicFramePr/>
                    <a:graphic xmlns:a="http://schemas.openxmlformats.org/drawingml/2006/main">
                      <a:graphicData uri="http://schemas.microsoft.com/office/word/2010/wordprocessingShape">
                        <wps:wsp>
                          <wps:cNvSpPr txBox="1"/>
                          <wps:spPr>
                            <a:xfrm>
                              <a:off x="0" y="0"/>
                              <a:ext cx="1220470" cy="1828800"/>
                            </a:xfrm>
                            <a:prstGeom prst="rect">
                              <a:avLst/>
                            </a:prstGeom>
                            <a:noFill/>
                            <a:ln w="6350">
                              <a:noFill/>
                            </a:ln>
                          </wps:spPr>
                          <wps:txbx>
                            <w:txbxContent>
                              <w:p w14:paraId="76A4B1A0" w14:textId="77777777" w:rsidR="001F2AFE" w:rsidRPr="005B7C2B" w:rsidRDefault="001F2AFE" w:rsidP="00B21DEB">
                                <w:r w:rsidRPr="00315BE3">
                                  <w:t xml:space="preserve">Page </w:t>
                                </w:r>
                                <w:r w:rsidRPr="00315BE3">
                                  <w:fldChar w:fldCharType="begin"/>
                                </w:r>
                                <w:r w:rsidRPr="00315BE3">
                                  <w:instrText xml:space="preserve"> PAGE  \* Arabic  \* MERGEFORMAT </w:instrText>
                                </w:r>
                                <w:r w:rsidRPr="00315BE3">
                                  <w:fldChar w:fldCharType="separate"/>
                                </w:r>
                                <w:r w:rsidR="0075451D">
                                  <w:rPr>
                                    <w:noProof/>
                                  </w:rPr>
                                  <w:t>4</w:t>
                                </w:r>
                                <w:r w:rsidRPr="00315BE3">
                                  <w:fldChar w:fldCharType="end"/>
                                </w:r>
                                <w:r w:rsidRPr="00315BE3">
                                  <w:t xml:space="preserve"> of </w:t>
                                </w:r>
                                <w:r w:rsidR="00714C17">
                                  <w:fldChar w:fldCharType="begin"/>
                                </w:r>
                                <w:r w:rsidR="00714C17">
                                  <w:instrText xml:space="preserve"> NUMPAGES  \* Arabic  \* MERGEFORMAT </w:instrText>
                                </w:r>
                                <w:r w:rsidR="00714C17">
                                  <w:fldChar w:fldCharType="separate"/>
                                </w:r>
                                <w:r w:rsidR="0075451D">
                                  <w:rPr>
                                    <w:noProof/>
                                  </w:rPr>
                                  <w:t>5</w:t>
                                </w:r>
                                <w:r w:rsidR="00714C17">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3078306" id="_x0000_t202" coordsize="21600,21600" o:spt="202" path="m,l,21600r21600,l21600,xe">
                    <v:stroke joinstyle="miter"/>
                    <v:path gradientshapeok="t" o:connecttype="rect"/>
                  </v:shapetype>
                  <v:shape id="Text Box 1" o:spid="_x0000_s1026" type="#_x0000_t202" style="position:absolute;left:0;text-align:left;margin-left:283.6pt;margin-top:15.15pt;width:96.1pt;height:2in;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" filled="f" stroked="f" strokeweight=".5pt">
                    <v:textbox style="mso-fit-shape-to-text:t">
                      <w:txbxContent>
                        <w:p w14:paraId="76A4B1A0" w14:textId="77777777" w:rsidR="001F2AFE" w:rsidRPr="005B7C2B" w:rsidRDefault="001F2AFE" w:rsidP="00B21DEB">
                          <w:r w:rsidRPr="00315BE3">
                            <w:t xml:space="preserve">Page </w:t>
                          </w:r>
                          <w:r w:rsidRPr="00315BE3">
                            <w:fldChar w:fldCharType="begin"/>
                          </w:r>
                          <w:r w:rsidRPr="00315BE3">
                            <w:instrText xml:space="preserve"> PAGE  \* Arabic  \* MERGEFORMAT </w:instrText>
                          </w:r>
                          <w:r w:rsidRPr="00315BE3">
                            <w:fldChar w:fldCharType="separate"/>
                          </w:r>
                          <w:r w:rsidR="0075451D">
                            <w:rPr>
                              <w:noProof/>
                            </w:rPr>
                            <w:t>4</w:t>
                          </w:r>
                          <w:r w:rsidRPr="00315BE3">
                            <w:fldChar w:fldCharType="end"/>
                          </w:r>
                          <w:r w:rsidRPr="00315BE3">
                            <w:t xml:space="preserve"> of </w:t>
                          </w:r>
                          <w:r w:rsidR="00714C17">
                            <w:fldChar w:fldCharType="begin"/>
                          </w:r>
                          <w:r w:rsidR="00714C17">
                            <w:instrText xml:space="preserve"> NUMPAGES  \* Arabic  \* MERGEFORMAT </w:instrText>
                          </w:r>
                          <w:r w:rsidR="00714C17">
                            <w:fldChar w:fldCharType="separate"/>
                          </w:r>
                          <w:r w:rsidR="0075451D">
                            <w:rPr>
                              <w:noProof/>
                            </w:rPr>
                            <w:t>5</w:t>
                          </w:r>
                          <w:r w:rsidR="00714C17">
                            <w:rPr>
                              <w:noProof/>
                            </w:rPr>
                            <w:fldChar w:fldCharType="end"/>
                          </w:r>
                        </w:p>
                      </w:txbxContent>
                    </v:textbox>
                  </v:shape>
                </w:pict>
              </mc:Fallback>
            </mc:AlternateContent>
          </w:r>
          <w:r w:rsidR="000C2064" w:rsidRPr="00EA77C6">
            <w:t xml:space="preserve">Project </w:t>
          </w:r>
          <w:proofErr w:type="spellStart"/>
          <w:r w:rsidR="000C2064" w:rsidRPr="00EA77C6">
            <w:t>RoRS</w:t>
          </w:r>
          <w:proofErr w:type="spellEnd"/>
          <w:r w:rsidR="000C2064" w:rsidRPr="00EA77C6">
            <w:t xml:space="preserve"> 337- </w:t>
          </w:r>
          <w:proofErr w:type="spellStart"/>
          <w:r w:rsidRPr="00EA77C6">
            <w:t>ROmania</w:t>
          </w:r>
          <w:proofErr w:type="spellEnd"/>
          <w:r w:rsidRPr="00EA77C6">
            <w:t xml:space="preserve"> Serbia </w:t>
          </w:r>
          <w:proofErr w:type="spellStart"/>
          <w:r w:rsidRPr="00EA77C6">
            <w:t>NETwork</w:t>
          </w:r>
          <w:proofErr w:type="spellEnd"/>
          <w:r w:rsidRPr="00EA77C6">
            <w:t xml:space="preserve"> for assessing and disseminating the impact of copper mining activities on water quality in the cross-border area</w:t>
          </w:r>
          <w:r w:rsidR="000C2064" w:rsidRPr="00EA77C6">
            <w:t xml:space="preserve"> (RoS-NET2</w:t>
          </w:r>
          <w:r w:rsidR="000A180B" w:rsidRPr="00EA77C6">
            <w:t>)</w:t>
          </w:r>
        </w:p>
      </w:tc>
    </w:tr>
  </w:tbl>
  <w:p w14:paraId="14A3C96D" w14:textId="2082DF64" w:rsidR="006D5E06" w:rsidRPr="00F23651" w:rsidRDefault="006D5E06" w:rsidP="00B21D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AA0701" w14:textId="77777777" w:rsidR="00714C17" w:rsidRDefault="00714C17" w:rsidP="00B21DEB">
      <w:r>
        <w:separator/>
      </w:r>
    </w:p>
  </w:footnote>
  <w:footnote w:type="continuationSeparator" w:id="0">
    <w:p w14:paraId="4FC7E9E7" w14:textId="77777777" w:rsidR="00714C17" w:rsidRDefault="00714C17" w:rsidP="00B21DEB">
      <w:r>
        <w:continuationSeparator/>
      </w:r>
    </w:p>
  </w:footnote>
  <w:footnote w:id="1">
    <w:p w14:paraId="0F9CDC92" w14:textId="77777777" w:rsidR="000F0794" w:rsidRPr="003D6B6C" w:rsidRDefault="000F0794" w:rsidP="000F0794">
      <w:pPr>
        <w:pStyle w:val="FootnoteText"/>
        <w:ind w:left="142" w:hanging="142"/>
      </w:pPr>
      <w:r w:rsidRPr="003D6B6C">
        <w:rPr>
          <w:rStyle w:val="FootnoteReference"/>
        </w:rPr>
        <w:footnoteRef/>
      </w:r>
      <w:r>
        <w:tab/>
      </w:r>
      <w:r w:rsidRPr="003D6B6C">
        <w:t xml:space="preserve">See </w:t>
      </w:r>
      <w:hyperlink r:id="rId1" w:history="1">
        <w:r w:rsidRPr="00FC1D90">
          <w:rPr>
            <w:rStyle w:val="Hyperlink"/>
          </w:rPr>
          <w:t>http://www.iccwbo.org/products-and-services/trade-facilitation/incoterms-2010/the-incoterms-rules/</w:t>
        </w:r>
      </w:hyperlink>
      <w:r w:rsidRPr="003D6B6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065" w:type="dxa"/>
      <w:tblInd w:w="-14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7A7452" w14:paraId="660F9EBB" w14:textId="77777777" w:rsidTr="00F77E71">
      <w:trPr>
        <w:trHeight w:val="1273"/>
      </w:trPr>
      <w:tc>
        <w:tcPr>
          <w:tcW w:w="10065" w:type="dxa"/>
          <w:tcBorders>
            <w:bottom w:val="single" w:sz="24" w:space="0" w:color="0070C0"/>
          </w:tcBorders>
        </w:tcPr>
        <w:p w14:paraId="478C2260" w14:textId="77777777" w:rsidR="007A7452" w:rsidRDefault="007A7452" w:rsidP="00B21DEB">
          <w:pPr>
            <w:pStyle w:val="Header"/>
          </w:pPr>
          <w:r w:rsidRPr="007A7452">
            <w:rPr>
              <w:noProof/>
              <w:lang w:val="ro-RO" w:eastAsia="ro-RO"/>
            </w:rPr>
            <w:drawing>
              <wp:anchor distT="0" distB="0" distL="114300" distR="114300" simplePos="0" relativeHeight="251764736" behindDoc="1" locked="0" layoutInCell="1" allowOverlap="1" wp14:anchorId="00494E52" wp14:editId="66C59F41">
                <wp:simplePos x="0" y="0"/>
                <wp:positionH relativeFrom="column">
                  <wp:posOffset>4878705</wp:posOffset>
                </wp:positionH>
                <wp:positionV relativeFrom="paragraph">
                  <wp:posOffset>0</wp:posOffset>
                </wp:positionV>
                <wp:extent cx="619125" cy="673100"/>
                <wp:effectExtent l="0" t="0" r="9525" b="0"/>
                <wp:wrapTight wrapText="bothSides">
                  <wp:wrapPolygon edited="0">
                    <wp:start x="5317" y="0"/>
                    <wp:lineTo x="1329" y="4279"/>
                    <wp:lineTo x="0" y="6725"/>
                    <wp:lineTo x="0" y="10392"/>
                    <wp:lineTo x="1994" y="20785"/>
                    <wp:lineTo x="11298" y="20785"/>
                    <wp:lineTo x="14622" y="20785"/>
                    <wp:lineTo x="16615" y="20785"/>
                    <wp:lineTo x="18609" y="20174"/>
                    <wp:lineTo x="21268" y="7336"/>
                    <wp:lineTo x="18609" y="3057"/>
                    <wp:lineTo x="14622" y="0"/>
                    <wp:lineTo x="5317" y="0"/>
                  </wp:wrapPolygon>
                </wp:wrapTight>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rotWithShape="1">
                        <a:blip r:embed="rId1" cstate="email">
                          <a:extLst>
                            <a:ext uri="{28A0092B-C50C-407E-A947-70E740481C1C}">
                              <a14:useLocalDpi xmlns:a14="http://schemas.microsoft.com/office/drawing/2010/main"/>
                            </a:ext>
                          </a:extLst>
                        </a:blip>
                        <a:srcRect/>
                        <a:stretch/>
                      </pic:blipFill>
                      <pic:spPr bwMode="auto">
                        <a:xfrm>
                          <a:off x="0" y="0"/>
                          <a:ext cx="619125" cy="673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A7452">
            <w:rPr>
              <w:noProof/>
              <w:lang w:val="ro-RO" w:eastAsia="ro-RO"/>
            </w:rPr>
            <w:drawing>
              <wp:anchor distT="0" distB="0" distL="114300" distR="114300" simplePos="0" relativeHeight="251763712" behindDoc="1" locked="0" layoutInCell="1" allowOverlap="1" wp14:anchorId="2FF4AAE0" wp14:editId="584C0DF3">
                <wp:simplePos x="0" y="0"/>
                <wp:positionH relativeFrom="column">
                  <wp:posOffset>180340</wp:posOffset>
                </wp:positionH>
                <wp:positionV relativeFrom="paragraph">
                  <wp:posOffset>-374954</wp:posOffset>
                </wp:positionV>
                <wp:extent cx="4211955" cy="647700"/>
                <wp:effectExtent l="0" t="0" r="0" b="0"/>
                <wp:wrapTight wrapText="bothSides">
                  <wp:wrapPolygon edited="0">
                    <wp:start x="0" y="0"/>
                    <wp:lineTo x="0" y="20965"/>
                    <wp:lineTo x="21493" y="20965"/>
                    <wp:lineTo x="21493" y="0"/>
                    <wp:lineTo x="0" y="0"/>
                  </wp:wrapPolygon>
                </wp:wrapTight>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reg-IPA logo vers. 2 - ENG (w).png"/>
                        <pic:cNvPicPr/>
                      </pic:nvPicPr>
                      <pic:blipFill rotWithShape="1">
                        <a:blip r:embed="rId2" cstate="email">
                          <a:extLst>
                            <a:ext uri="{28A0092B-C50C-407E-A947-70E740481C1C}">
                              <a14:useLocalDpi xmlns:a14="http://schemas.microsoft.com/office/drawing/2010/main"/>
                            </a:ext>
                          </a:extLst>
                        </a:blip>
                        <a:srcRect l="2673" t="16997" r="3245" b="15356"/>
                        <a:stretch/>
                      </pic:blipFill>
                      <pic:spPr bwMode="auto">
                        <a:xfrm>
                          <a:off x="0" y="0"/>
                          <a:ext cx="4211955" cy="64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DE21F77" w14:textId="4E3AF9C0" w:rsidR="00241600" w:rsidRPr="007A7452" w:rsidRDefault="00241600" w:rsidP="00B21D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C57E6"/>
    <w:multiLevelType w:val="hybridMultilevel"/>
    <w:tmpl w:val="43D25F2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BBF4FD8"/>
    <w:multiLevelType w:val="hybridMultilevel"/>
    <w:tmpl w:val="D4B22F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F41595F"/>
    <w:multiLevelType w:val="hybridMultilevel"/>
    <w:tmpl w:val="A21A51E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10786FAE"/>
    <w:multiLevelType w:val="hybridMultilevel"/>
    <w:tmpl w:val="BFFE0656"/>
    <w:lvl w:ilvl="0" w:tplc="AB94FA30">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5" w15:restartNumberingAfterBreak="0">
    <w:nsid w:val="119B215B"/>
    <w:multiLevelType w:val="hybridMultilevel"/>
    <w:tmpl w:val="2E2001FA"/>
    <w:lvl w:ilvl="0" w:tplc="1D8CFDDA">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DAB56BC"/>
    <w:multiLevelType w:val="hybridMultilevel"/>
    <w:tmpl w:val="50C04D9C"/>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1DF32ABD"/>
    <w:multiLevelType w:val="hybridMultilevel"/>
    <w:tmpl w:val="9FAC02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E6E0AA0"/>
    <w:multiLevelType w:val="hybridMultilevel"/>
    <w:tmpl w:val="B9F2EDD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ED14CA"/>
    <w:multiLevelType w:val="hybridMultilevel"/>
    <w:tmpl w:val="77381BF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291827AA"/>
    <w:multiLevelType w:val="hybridMultilevel"/>
    <w:tmpl w:val="6DD8999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2B2C6C77"/>
    <w:multiLevelType w:val="hybridMultilevel"/>
    <w:tmpl w:val="BCEACFD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6"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7" w15:restartNumberingAfterBreak="0">
    <w:nsid w:val="391B78BE"/>
    <w:multiLevelType w:val="hybridMultilevel"/>
    <w:tmpl w:val="AD38EB7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9"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3C5783"/>
    <w:multiLevelType w:val="hybridMultilevel"/>
    <w:tmpl w:val="02CEED7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2733FFA"/>
    <w:multiLevelType w:val="hybridMultilevel"/>
    <w:tmpl w:val="760E5D10"/>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4"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27" w15:restartNumberingAfterBreak="0">
    <w:nsid w:val="6A0E77A8"/>
    <w:multiLevelType w:val="hybridMultilevel"/>
    <w:tmpl w:val="3BBC1C9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E481D24"/>
    <w:multiLevelType w:val="hybridMultilevel"/>
    <w:tmpl w:val="EE86362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707B7E41"/>
    <w:multiLevelType w:val="hybridMultilevel"/>
    <w:tmpl w:val="BD747D94"/>
    <w:lvl w:ilvl="0" w:tplc="E6DC0622">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A266815"/>
    <w:multiLevelType w:val="hybridMultilevel"/>
    <w:tmpl w:val="E076AA3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7D086B39"/>
    <w:multiLevelType w:val="hybridMultilevel"/>
    <w:tmpl w:val="EFAC26F2"/>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7"/>
  </w:num>
  <w:num w:numId="2">
    <w:abstractNumId w:val="17"/>
  </w:num>
  <w:num w:numId="3">
    <w:abstractNumId w:val="20"/>
  </w:num>
  <w:num w:numId="4">
    <w:abstractNumId w:val="14"/>
  </w:num>
  <w:num w:numId="5">
    <w:abstractNumId w:val="28"/>
  </w:num>
  <w:num w:numId="6">
    <w:abstractNumId w:val="1"/>
  </w:num>
  <w:num w:numId="7">
    <w:abstractNumId w:val="13"/>
  </w:num>
  <w:num w:numId="8">
    <w:abstractNumId w:val="22"/>
  </w:num>
  <w:num w:numId="9">
    <w:abstractNumId w:val="32"/>
  </w:num>
  <w:num w:numId="10">
    <w:abstractNumId w:val="31"/>
  </w:num>
  <w:num w:numId="11">
    <w:abstractNumId w:val="12"/>
  </w:num>
  <w:num w:numId="12">
    <w:abstractNumId w:val="9"/>
  </w:num>
  <w:num w:numId="13">
    <w:abstractNumId w:val="3"/>
  </w:num>
  <w:num w:numId="14">
    <w:abstractNumId w:val="4"/>
  </w:num>
  <w:num w:numId="15">
    <w:abstractNumId w:val="29"/>
  </w:num>
  <w:num w:numId="16">
    <w:abstractNumId w:val="5"/>
  </w:num>
  <w:num w:numId="17">
    <w:abstractNumId w:val="6"/>
  </w:num>
  <w:num w:numId="18">
    <w:abstractNumId w:val="18"/>
  </w:num>
  <w:num w:numId="19">
    <w:abstractNumId w:val="21"/>
  </w:num>
  <w:num w:numId="20">
    <w:abstractNumId w:val="25"/>
  </w:num>
  <w:num w:numId="21">
    <w:abstractNumId w:val="26"/>
  </w:num>
  <w:num w:numId="22">
    <w:abstractNumId w:val="15"/>
  </w:num>
  <w:num w:numId="23">
    <w:abstractNumId w:val="24"/>
  </w:num>
  <w:num w:numId="24">
    <w:abstractNumId w:val="16"/>
  </w:num>
  <w:num w:numId="25">
    <w:abstractNumId w:val="0"/>
    <w:lvlOverride w:ilvl="0">
      <w:lvl w:ilvl="0">
        <w:numFmt w:val="bullet"/>
        <w:lvlText w:val=""/>
        <w:legacy w:legacy="1" w:legacySpace="0" w:legacyIndent="360"/>
        <w:lvlJc w:val="left"/>
        <w:pPr>
          <w:ind w:left="720" w:hanging="360"/>
        </w:pPr>
        <w:rPr>
          <w:rFonts w:ascii="Symbol" w:hAnsi="Symbol" w:hint="default"/>
        </w:rPr>
      </w:lvl>
    </w:lvlOverride>
  </w:num>
  <w:num w:numId="26">
    <w:abstractNumId w:val="27"/>
  </w:num>
  <w:num w:numId="27">
    <w:abstractNumId w:val="23"/>
  </w:num>
  <w:num w:numId="28">
    <w:abstractNumId w:val="10"/>
  </w:num>
  <w:num w:numId="29">
    <w:abstractNumId w:val="30"/>
  </w:num>
  <w:num w:numId="30">
    <w:abstractNumId w:val="11"/>
  </w:num>
  <w:num w:numId="31">
    <w:abstractNumId w:val="8"/>
  </w:num>
  <w:num w:numId="32">
    <w:abstractNumId w:val="19"/>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3MzIwNTQ0MTcwNTZS0lEKTi0uzszPAykwNKoFAJU9Kc0tAAAA"/>
  </w:docVars>
  <w:rsids>
    <w:rsidRoot w:val="00BF6929"/>
    <w:rsid w:val="000124BC"/>
    <w:rsid w:val="00015E52"/>
    <w:rsid w:val="00020E8A"/>
    <w:rsid w:val="00026FE0"/>
    <w:rsid w:val="0006790A"/>
    <w:rsid w:val="00095BB2"/>
    <w:rsid w:val="000A1181"/>
    <w:rsid w:val="000A180B"/>
    <w:rsid w:val="000C0194"/>
    <w:rsid w:val="000C123F"/>
    <w:rsid w:val="000C130F"/>
    <w:rsid w:val="000C2064"/>
    <w:rsid w:val="000C5E60"/>
    <w:rsid w:val="000C69E3"/>
    <w:rsid w:val="000D6DC6"/>
    <w:rsid w:val="000E0693"/>
    <w:rsid w:val="000E7FB1"/>
    <w:rsid w:val="000F0794"/>
    <w:rsid w:val="001029DE"/>
    <w:rsid w:val="00111D33"/>
    <w:rsid w:val="00126AB4"/>
    <w:rsid w:val="0013194E"/>
    <w:rsid w:val="00131CA0"/>
    <w:rsid w:val="00140152"/>
    <w:rsid w:val="00141FEB"/>
    <w:rsid w:val="001514C0"/>
    <w:rsid w:val="00152361"/>
    <w:rsid w:val="001610D0"/>
    <w:rsid w:val="00161528"/>
    <w:rsid w:val="00161C30"/>
    <w:rsid w:val="00164578"/>
    <w:rsid w:val="00176630"/>
    <w:rsid w:val="00185FCD"/>
    <w:rsid w:val="001A3500"/>
    <w:rsid w:val="001A4AEA"/>
    <w:rsid w:val="001C04A5"/>
    <w:rsid w:val="001C592C"/>
    <w:rsid w:val="001D2A0F"/>
    <w:rsid w:val="001D6840"/>
    <w:rsid w:val="001D734F"/>
    <w:rsid w:val="001F2AFE"/>
    <w:rsid w:val="002035F7"/>
    <w:rsid w:val="002348C1"/>
    <w:rsid w:val="00234DED"/>
    <w:rsid w:val="00235FCA"/>
    <w:rsid w:val="00240573"/>
    <w:rsid w:val="00241600"/>
    <w:rsid w:val="00262C5C"/>
    <w:rsid w:val="002733D3"/>
    <w:rsid w:val="00294604"/>
    <w:rsid w:val="002A1523"/>
    <w:rsid w:val="002B7BAD"/>
    <w:rsid w:val="002C7E59"/>
    <w:rsid w:val="002F12C9"/>
    <w:rsid w:val="002F2451"/>
    <w:rsid w:val="00315BE3"/>
    <w:rsid w:val="00334FE2"/>
    <w:rsid w:val="00345E66"/>
    <w:rsid w:val="003533FF"/>
    <w:rsid w:val="003812E1"/>
    <w:rsid w:val="00384C3C"/>
    <w:rsid w:val="003A2772"/>
    <w:rsid w:val="003A6F08"/>
    <w:rsid w:val="003B55E9"/>
    <w:rsid w:val="003D29D5"/>
    <w:rsid w:val="003D5525"/>
    <w:rsid w:val="003E4ABF"/>
    <w:rsid w:val="003F1C63"/>
    <w:rsid w:val="00401E15"/>
    <w:rsid w:val="00410369"/>
    <w:rsid w:val="00424F7E"/>
    <w:rsid w:val="00433095"/>
    <w:rsid w:val="00437894"/>
    <w:rsid w:val="00441502"/>
    <w:rsid w:val="004832B3"/>
    <w:rsid w:val="00483346"/>
    <w:rsid w:val="0048751C"/>
    <w:rsid w:val="004A5465"/>
    <w:rsid w:val="004D1977"/>
    <w:rsid w:val="004D1D7C"/>
    <w:rsid w:val="004D3791"/>
    <w:rsid w:val="004E08DA"/>
    <w:rsid w:val="004F708A"/>
    <w:rsid w:val="00504750"/>
    <w:rsid w:val="005065BF"/>
    <w:rsid w:val="00515EFF"/>
    <w:rsid w:val="00535BF2"/>
    <w:rsid w:val="00552E77"/>
    <w:rsid w:val="00553517"/>
    <w:rsid w:val="00561045"/>
    <w:rsid w:val="00564728"/>
    <w:rsid w:val="00576CBA"/>
    <w:rsid w:val="005805CB"/>
    <w:rsid w:val="005A18A0"/>
    <w:rsid w:val="005A28C9"/>
    <w:rsid w:val="005A7994"/>
    <w:rsid w:val="005A7B14"/>
    <w:rsid w:val="005B1787"/>
    <w:rsid w:val="005B3180"/>
    <w:rsid w:val="005B6F4C"/>
    <w:rsid w:val="005C3271"/>
    <w:rsid w:val="005C4737"/>
    <w:rsid w:val="005D1FDE"/>
    <w:rsid w:val="005D4BA9"/>
    <w:rsid w:val="005E2FBD"/>
    <w:rsid w:val="005F15C7"/>
    <w:rsid w:val="005F2A6A"/>
    <w:rsid w:val="00603844"/>
    <w:rsid w:val="006130DF"/>
    <w:rsid w:val="0061538E"/>
    <w:rsid w:val="0062563A"/>
    <w:rsid w:val="00627DEB"/>
    <w:rsid w:val="006666F2"/>
    <w:rsid w:val="00676A16"/>
    <w:rsid w:val="006A5FFE"/>
    <w:rsid w:val="006B0887"/>
    <w:rsid w:val="006B1ED6"/>
    <w:rsid w:val="006D0B29"/>
    <w:rsid w:val="006D5E06"/>
    <w:rsid w:val="006F41D1"/>
    <w:rsid w:val="00706118"/>
    <w:rsid w:val="00714C17"/>
    <w:rsid w:val="00716F92"/>
    <w:rsid w:val="0072154B"/>
    <w:rsid w:val="00730C65"/>
    <w:rsid w:val="00732847"/>
    <w:rsid w:val="0073503E"/>
    <w:rsid w:val="00745FC5"/>
    <w:rsid w:val="00746304"/>
    <w:rsid w:val="0075451D"/>
    <w:rsid w:val="007664A7"/>
    <w:rsid w:val="00771639"/>
    <w:rsid w:val="00781EF0"/>
    <w:rsid w:val="0078795B"/>
    <w:rsid w:val="007A2E6A"/>
    <w:rsid w:val="007A56CD"/>
    <w:rsid w:val="007A7452"/>
    <w:rsid w:val="007B3462"/>
    <w:rsid w:val="007C13C8"/>
    <w:rsid w:val="007C2573"/>
    <w:rsid w:val="007C5091"/>
    <w:rsid w:val="007D4FB8"/>
    <w:rsid w:val="007E0CC4"/>
    <w:rsid w:val="007E29D8"/>
    <w:rsid w:val="007E55A7"/>
    <w:rsid w:val="007E76FD"/>
    <w:rsid w:val="007F2759"/>
    <w:rsid w:val="007F4267"/>
    <w:rsid w:val="007F789E"/>
    <w:rsid w:val="008138CE"/>
    <w:rsid w:val="00814903"/>
    <w:rsid w:val="008163D9"/>
    <w:rsid w:val="0082471E"/>
    <w:rsid w:val="00827492"/>
    <w:rsid w:val="008309F4"/>
    <w:rsid w:val="008341BB"/>
    <w:rsid w:val="00836F31"/>
    <w:rsid w:val="00843E93"/>
    <w:rsid w:val="00851889"/>
    <w:rsid w:val="008554E3"/>
    <w:rsid w:val="00855A95"/>
    <w:rsid w:val="0085693B"/>
    <w:rsid w:val="00871F62"/>
    <w:rsid w:val="00876D97"/>
    <w:rsid w:val="00876FB9"/>
    <w:rsid w:val="00880CDE"/>
    <w:rsid w:val="00884B89"/>
    <w:rsid w:val="00891BA1"/>
    <w:rsid w:val="00893FE9"/>
    <w:rsid w:val="008967AE"/>
    <w:rsid w:val="008A39E2"/>
    <w:rsid w:val="008C0B08"/>
    <w:rsid w:val="008C1BDD"/>
    <w:rsid w:val="008D07A4"/>
    <w:rsid w:val="008D718E"/>
    <w:rsid w:val="008E01EB"/>
    <w:rsid w:val="008E032F"/>
    <w:rsid w:val="008E6123"/>
    <w:rsid w:val="008E69D0"/>
    <w:rsid w:val="008E73B8"/>
    <w:rsid w:val="009264B5"/>
    <w:rsid w:val="0092779E"/>
    <w:rsid w:val="00934E05"/>
    <w:rsid w:val="00983EEA"/>
    <w:rsid w:val="00990561"/>
    <w:rsid w:val="009937C0"/>
    <w:rsid w:val="009A44C0"/>
    <w:rsid w:val="009A4D7A"/>
    <w:rsid w:val="009A6DCD"/>
    <w:rsid w:val="009B3027"/>
    <w:rsid w:val="009B76BB"/>
    <w:rsid w:val="00A04D80"/>
    <w:rsid w:val="00A06DD1"/>
    <w:rsid w:val="00A24ADE"/>
    <w:rsid w:val="00A27C0B"/>
    <w:rsid w:val="00A41DAC"/>
    <w:rsid w:val="00A47B99"/>
    <w:rsid w:val="00A752C8"/>
    <w:rsid w:val="00A87FCA"/>
    <w:rsid w:val="00A92087"/>
    <w:rsid w:val="00AA53AA"/>
    <w:rsid w:val="00AA714A"/>
    <w:rsid w:val="00AB5598"/>
    <w:rsid w:val="00AD279B"/>
    <w:rsid w:val="00AD4386"/>
    <w:rsid w:val="00B02D18"/>
    <w:rsid w:val="00B076FF"/>
    <w:rsid w:val="00B105AE"/>
    <w:rsid w:val="00B16F02"/>
    <w:rsid w:val="00B21DEB"/>
    <w:rsid w:val="00B2361E"/>
    <w:rsid w:val="00B76D56"/>
    <w:rsid w:val="00B86859"/>
    <w:rsid w:val="00B9402D"/>
    <w:rsid w:val="00BA1AAA"/>
    <w:rsid w:val="00BB0CEB"/>
    <w:rsid w:val="00BB1D52"/>
    <w:rsid w:val="00BD5347"/>
    <w:rsid w:val="00BF6929"/>
    <w:rsid w:val="00C0538D"/>
    <w:rsid w:val="00C14FE2"/>
    <w:rsid w:val="00C157CF"/>
    <w:rsid w:val="00C32437"/>
    <w:rsid w:val="00C43545"/>
    <w:rsid w:val="00C54E8E"/>
    <w:rsid w:val="00C63F61"/>
    <w:rsid w:val="00C76E4D"/>
    <w:rsid w:val="00C82C70"/>
    <w:rsid w:val="00C85A68"/>
    <w:rsid w:val="00C92034"/>
    <w:rsid w:val="00C92EF1"/>
    <w:rsid w:val="00CA5529"/>
    <w:rsid w:val="00CA5B25"/>
    <w:rsid w:val="00CC6D1C"/>
    <w:rsid w:val="00CD539B"/>
    <w:rsid w:val="00CE735F"/>
    <w:rsid w:val="00CF62FE"/>
    <w:rsid w:val="00D04722"/>
    <w:rsid w:val="00D05827"/>
    <w:rsid w:val="00D307C3"/>
    <w:rsid w:val="00D36773"/>
    <w:rsid w:val="00D5295E"/>
    <w:rsid w:val="00D5356E"/>
    <w:rsid w:val="00D54DE7"/>
    <w:rsid w:val="00D63630"/>
    <w:rsid w:val="00D64E3A"/>
    <w:rsid w:val="00D70970"/>
    <w:rsid w:val="00D70A52"/>
    <w:rsid w:val="00D74463"/>
    <w:rsid w:val="00D82A71"/>
    <w:rsid w:val="00D91E8A"/>
    <w:rsid w:val="00DA5364"/>
    <w:rsid w:val="00DB722D"/>
    <w:rsid w:val="00DC521C"/>
    <w:rsid w:val="00DD2C18"/>
    <w:rsid w:val="00DE723A"/>
    <w:rsid w:val="00DF2685"/>
    <w:rsid w:val="00DF5899"/>
    <w:rsid w:val="00E01DB2"/>
    <w:rsid w:val="00E11192"/>
    <w:rsid w:val="00E230C8"/>
    <w:rsid w:val="00E26E94"/>
    <w:rsid w:val="00E569C4"/>
    <w:rsid w:val="00E64082"/>
    <w:rsid w:val="00E773D9"/>
    <w:rsid w:val="00EA77C6"/>
    <w:rsid w:val="00EB55DB"/>
    <w:rsid w:val="00EC0E79"/>
    <w:rsid w:val="00ED7BBC"/>
    <w:rsid w:val="00EE21D1"/>
    <w:rsid w:val="00EE67B2"/>
    <w:rsid w:val="00EF4595"/>
    <w:rsid w:val="00F0480D"/>
    <w:rsid w:val="00F23651"/>
    <w:rsid w:val="00F26C6C"/>
    <w:rsid w:val="00F31FCF"/>
    <w:rsid w:val="00F35E0C"/>
    <w:rsid w:val="00F408DD"/>
    <w:rsid w:val="00F77E71"/>
    <w:rsid w:val="00F835A6"/>
    <w:rsid w:val="00FA5A25"/>
    <w:rsid w:val="00FB6924"/>
    <w:rsid w:val="00FD417D"/>
    <w:rsid w:val="00FE339C"/>
    <w:rsid w:val="00FE7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2EA7B"/>
  <w15:docId w15:val="{085326E4-4F55-4C8C-9336-DE0338E9F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21DEB"/>
    <w:pPr>
      <w:spacing w:before="120" w:line="260" w:lineRule="atLeast"/>
      <w:jc w:val="both"/>
    </w:pPr>
  </w:style>
  <w:style w:type="paragraph" w:styleId="Heading1">
    <w:name w:val="heading 1"/>
    <w:basedOn w:val="Normal"/>
    <w:next w:val="Normal"/>
    <w:link w:val="Heading1Char"/>
    <w:uiPriority w:val="9"/>
    <w:qFormat/>
    <w:rsid w:val="00B21DEB"/>
    <w:pPr>
      <w:outlineLvl w:val="0"/>
    </w:pPr>
    <w:rPr>
      <w:b/>
      <w:sz w:val="28"/>
      <w:szCs w:val="28"/>
    </w:rPr>
  </w:style>
  <w:style w:type="paragraph" w:styleId="Heading2">
    <w:name w:val="heading 2"/>
    <w:basedOn w:val="Normal"/>
    <w:next w:val="Normal"/>
    <w:link w:val="Heading2Char"/>
    <w:uiPriority w:val="9"/>
    <w:unhideWhenUsed/>
    <w:qFormat/>
    <w:rsid w:val="00EB55DB"/>
    <w:pPr>
      <w:ind w:left="709" w:hanging="349"/>
      <w:outlineLvl w:val="1"/>
    </w:pPr>
    <w:rPr>
      <w:b/>
    </w:rPr>
  </w:style>
  <w:style w:type="paragraph" w:styleId="Heading3">
    <w:name w:val="heading 3"/>
    <w:basedOn w:val="Normal"/>
    <w:next w:val="Normal"/>
    <w:link w:val="Heading3Char"/>
    <w:uiPriority w:val="9"/>
    <w:unhideWhenUsed/>
    <w:qFormat/>
    <w:rsid w:val="00EA77C6"/>
    <w:pPr>
      <w:spacing w:after="120"/>
      <w:outlineLvl w:val="2"/>
    </w:pPr>
    <w:rPr>
      <w:b/>
      <w: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63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3F61"/>
  </w:style>
  <w:style w:type="paragraph" w:styleId="Footer">
    <w:name w:val="footer"/>
    <w:basedOn w:val="Normal"/>
    <w:link w:val="FooterChar"/>
    <w:uiPriority w:val="99"/>
    <w:unhideWhenUsed/>
    <w:rsid w:val="00EA77C6"/>
    <w:pPr>
      <w:spacing w:before="0" w:after="0" w:line="240" w:lineRule="auto"/>
    </w:pPr>
    <w:rPr>
      <w:sz w:val="16"/>
      <w:szCs w:val="16"/>
    </w:rPr>
  </w:style>
  <w:style w:type="character" w:customStyle="1" w:styleId="FooterChar">
    <w:name w:val="Footer Char"/>
    <w:basedOn w:val="DefaultParagraphFont"/>
    <w:link w:val="Footer"/>
    <w:uiPriority w:val="99"/>
    <w:rsid w:val="00EA77C6"/>
    <w:rPr>
      <w:sz w:val="16"/>
      <w:szCs w:val="16"/>
      <w:lang w:val="ro-RO"/>
    </w:rPr>
  </w:style>
  <w:style w:type="paragraph" w:styleId="BalloonText">
    <w:name w:val="Balloon Text"/>
    <w:basedOn w:val="Normal"/>
    <w:link w:val="BalloonTextChar"/>
    <w:uiPriority w:val="99"/>
    <w:semiHidden/>
    <w:unhideWhenUsed/>
    <w:rsid w:val="00C63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F61"/>
    <w:rPr>
      <w:rFonts w:ascii="Tahoma" w:hAnsi="Tahoma" w:cs="Tahoma"/>
      <w:sz w:val="16"/>
      <w:szCs w:val="16"/>
    </w:rPr>
  </w:style>
  <w:style w:type="character" w:styleId="Hyperlink">
    <w:name w:val="Hyperlink"/>
    <w:basedOn w:val="DefaultParagraphFont"/>
    <w:uiPriority w:val="99"/>
    <w:unhideWhenUsed/>
    <w:rsid w:val="00AD4386"/>
    <w:rPr>
      <w:color w:val="0000FF" w:themeColor="hyperlink"/>
      <w:u w:val="single"/>
    </w:rPr>
  </w:style>
  <w:style w:type="table" w:styleId="TableGrid">
    <w:name w:val="Table Grid"/>
    <w:basedOn w:val="TableNormal"/>
    <w:uiPriority w:val="59"/>
    <w:rsid w:val="007A74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38CE"/>
    <w:rPr>
      <w:sz w:val="16"/>
      <w:szCs w:val="16"/>
    </w:rPr>
  </w:style>
  <w:style w:type="paragraph" w:styleId="CommentText">
    <w:name w:val="annotation text"/>
    <w:basedOn w:val="Normal"/>
    <w:link w:val="CommentTextChar"/>
    <w:uiPriority w:val="99"/>
    <w:unhideWhenUsed/>
    <w:rsid w:val="008138CE"/>
    <w:pPr>
      <w:spacing w:line="240" w:lineRule="auto"/>
    </w:pPr>
    <w:rPr>
      <w:sz w:val="20"/>
      <w:szCs w:val="20"/>
    </w:rPr>
  </w:style>
  <w:style w:type="character" w:customStyle="1" w:styleId="CommentTextChar">
    <w:name w:val="Comment Text Char"/>
    <w:basedOn w:val="DefaultParagraphFont"/>
    <w:link w:val="CommentText"/>
    <w:uiPriority w:val="99"/>
    <w:rsid w:val="008138CE"/>
    <w:rPr>
      <w:sz w:val="20"/>
      <w:szCs w:val="20"/>
    </w:rPr>
  </w:style>
  <w:style w:type="paragraph" w:styleId="CommentSubject">
    <w:name w:val="annotation subject"/>
    <w:basedOn w:val="CommentText"/>
    <w:next w:val="CommentText"/>
    <w:link w:val="CommentSubjectChar"/>
    <w:uiPriority w:val="99"/>
    <w:semiHidden/>
    <w:unhideWhenUsed/>
    <w:rsid w:val="008138CE"/>
    <w:rPr>
      <w:b/>
      <w:bCs/>
    </w:rPr>
  </w:style>
  <w:style w:type="character" w:customStyle="1" w:styleId="CommentSubjectChar">
    <w:name w:val="Comment Subject Char"/>
    <w:basedOn w:val="CommentTextChar"/>
    <w:link w:val="CommentSubject"/>
    <w:uiPriority w:val="99"/>
    <w:semiHidden/>
    <w:rsid w:val="008138CE"/>
    <w:rPr>
      <w:b/>
      <w:bCs/>
      <w:sz w:val="20"/>
      <w:szCs w:val="20"/>
    </w:rPr>
  </w:style>
  <w:style w:type="character" w:customStyle="1" w:styleId="Heading1Char">
    <w:name w:val="Heading 1 Char"/>
    <w:basedOn w:val="DefaultParagraphFont"/>
    <w:link w:val="Heading1"/>
    <w:uiPriority w:val="9"/>
    <w:rsid w:val="00B21DEB"/>
    <w:rPr>
      <w:b/>
      <w:sz w:val="28"/>
      <w:szCs w:val="28"/>
    </w:rPr>
  </w:style>
  <w:style w:type="character" w:customStyle="1" w:styleId="Heading2Char">
    <w:name w:val="Heading 2 Char"/>
    <w:basedOn w:val="DefaultParagraphFont"/>
    <w:link w:val="Heading2"/>
    <w:uiPriority w:val="9"/>
    <w:rsid w:val="00EB55DB"/>
    <w:rPr>
      <w:b/>
    </w:rPr>
  </w:style>
  <w:style w:type="character" w:customStyle="1" w:styleId="Heading3Char">
    <w:name w:val="Heading 3 Char"/>
    <w:basedOn w:val="DefaultParagraphFont"/>
    <w:link w:val="Heading3"/>
    <w:uiPriority w:val="9"/>
    <w:rsid w:val="00EA77C6"/>
    <w:rPr>
      <w:b/>
      <w:i/>
      <w:lang w:val="en-US"/>
    </w:rPr>
  </w:style>
  <w:style w:type="paragraph" w:styleId="ListParagraph">
    <w:name w:val="List Paragraph"/>
    <w:basedOn w:val="Normal"/>
    <w:uiPriority w:val="34"/>
    <w:qFormat/>
    <w:rsid w:val="00A87FCA"/>
    <w:pPr>
      <w:ind w:left="720"/>
      <w:contextualSpacing/>
    </w:pPr>
  </w:style>
  <w:style w:type="paragraph" w:styleId="BodyText">
    <w:name w:val="Body Text"/>
    <w:basedOn w:val="Normal"/>
    <w:link w:val="BodyTextChar"/>
    <w:uiPriority w:val="99"/>
    <w:rsid w:val="00891BA1"/>
    <w:pPr>
      <w:spacing w:before="0" w:after="120" w:line="240" w:lineRule="auto"/>
    </w:pPr>
    <w:rPr>
      <w:rFonts w:ascii="Calibri" w:eastAsia="Calibri" w:hAnsi="Calibri" w:cs="Calibri"/>
      <w:sz w:val="24"/>
      <w:szCs w:val="24"/>
      <w:lang w:eastAsia="en-GB"/>
    </w:rPr>
  </w:style>
  <w:style w:type="character" w:customStyle="1" w:styleId="BodyTextChar">
    <w:name w:val="Body Text Char"/>
    <w:basedOn w:val="DefaultParagraphFont"/>
    <w:link w:val="BodyText"/>
    <w:uiPriority w:val="99"/>
    <w:rsid w:val="00891BA1"/>
    <w:rPr>
      <w:rFonts w:ascii="Calibri" w:eastAsia="Calibri" w:hAnsi="Calibri" w:cs="Calibri"/>
      <w:sz w:val="24"/>
      <w:szCs w:val="24"/>
      <w:lang w:eastAsia="en-GB"/>
    </w:rPr>
  </w:style>
  <w:style w:type="paragraph" w:customStyle="1" w:styleId="Blockquote">
    <w:name w:val="Blockquote"/>
    <w:basedOn w:val="Normal"/>
    <w:rsid w:val="004D1977"/>
    <w:pPr>
      <w:widowControl w:val="0"/>
      <w:spacing w:before="100" w:after="100" w:line="240" w:lineRule="auto"/>
      <w:ind w:left="360" w:right="360"/>
    </w:pPr>
    <w:rPr>
      <w:rFonts w:ascii="Times New Roman" w:eastAsia="Times New Roman" w:hAnsi="Times New Roman" w:cs="Times New Roman"/>
      <w:snapToGrid w:val="0"/>
      <w:sz w:val="24"/>
      <w:szCs w:val="20"/>
      <w:lang w:val="en-US"/>
    </w:rPr>
  </w:style>
  <w:style w:type="character" w:styleId="Emphasis">
    <w:name w:val="Emphasis"/>
    <w:qFormat/>
    <w:rsid w:val="004D1977"/>
    <w:rPr>
      <w:i/>
    </w:rPr>
  </w:style>
  <w:style w:type="character" w:styleId="Strong">
    <w:name w:val="Strong"/>
    <w:qFormat/>
    <w:rsid w:val="004D1977"/>
    <w:rPr>
      <w:b/>
    </w:rPr>
  </w:style>
  <w:style w:type="character" w:customStyle="1" w:styleId="UnresolvedMention1">
    <w:name w:val="Unresolved Mention1"/>
    <w:basedOn w:val="DefaultParagraphFont"/>
    <w:uiPriority w:val="99"/>
    <w:semiHidden/>
    <w:unhideWhenUsed/>
    <w:rsid w:val="00A752C8"/>
    <w:rPr>
      <w:color w:val="605E5C"/>
      <w:shd w:val="clear" w:color="auto" w:fill="E1DFDD"/>
    </w:rPr>
  </w:style>
  <w:style w:type="paragraph" w:styleId="BodyTextIndent">
    <w:name w:val="Body Text Indent"/>
    <w:basedOn w:val="Normal"/>
    <w:link w:val="BodyTextIndentChar"/>
    <w:uiPriority w:val="99"/>
    <w:semiHidden/>
    <w:unhideWhenUsed/>
    <w:rsid w:val="00A41DAC"/>
    <w:pPr>
      <w:spacing w:after="120"/>
      <w:ind w:left="360"/>
    </w:pPr>
  </w:style>
  <w:style w:type="character" w:customStyle="1" w:styleId="BodyTextIndentChar">
    <w:name w:val="Body Text Indent Char"/>
    <w:basedOn w:val="DefaultParagraphFont"/>
    <w:link w:val="BodyTextIndent"/>
    <w:uiPriority w:val="99"/>
    <w:semiHidden/>
    <w:rsid w:val="00A41DAC"/>
    <w:rPr>
      <w:lang w:val="ro-RO"/>
    </w:rPr>
  </w:style>
  <w:style w:type="paragraph" w:styleId="BodyText2">
    <w:name w:val="Body Text 2"/>
    <w:basedOn w:val="Normal"/>
    <w:link w:val="BodyText2Char"/>
    <w:uiPriority w:val="99"/>
    <w:semiHidden/>
    <w:unhideWhenUsed/>
    <w:rsid w:val="00A41DAC"/>
    <w:pPr>
      <w:spacing w:after="120" w:line="480" w:lineRule="auto"/>
    </w:pPr>
  </w:style>
  <w:style w:type="character" w:customStyle="1" w:styleId="BodyText2Char">
    <w:name w:val="Body Text 2 Char"/>
    <w:basedOn w:val="DefaultParagraphFont"/>
    <w:link w:val="BodyText2"/>
    <w:uiPriority w:val="99"/>
    <w:semiHidden/>
    <w:rsid w:val="00A41DAC"/>
    <w:rPr>
      <w:lang w:val="ro-RO"/>
    </w:rPr>
  </w:style>
  <w:style w:type="paragraph" w:styleId="Subtitle">
    <w:name w:val="Subtitle"/>
    <w:basedOn w:val="Normal"/>
    <w:link w:val="SubtitleChar"/>
    <w:qFormat/>
    <w:rsid w:val="00A41DAC"/>
    <w:pPr>
      <w:spacing w:before="0" w:after="0" w:line="240" w:lineRule="auto"/>
      <w:jc w:val="center"/>
    </w:pPr>
    <w:rPr>
      <w:rFonts w:ascii="Times New Roman" w:eastAsia="Times New Roman" w:hAnsi="Times New Roman" w:cs="Times New Roman"/>
      <w:b/>
      <w:sz w:val="28"/>
      <w:szCs w:val="20"/>
      <w:lang w:val="fr-BE" w:eastAsia="en-GB"/>
    </w:rPr>
  </w:style>
  <w:style w:type="character" w:customStyle="1" w:styleId="SubtitleChar">
    <w:name w:val="Subtitle Char"/>
    <w:basedOn w:val="DefaultParagraphFont"/>
    <w:link w:val="Subtitle"/>
    <w:rsid w:val="00A41DAC"/>
    <w:rPr>
      <w:rFonts w:ascii="Times New Roman" w:eastAsia="Times New Roman" w:hAnsi="Times New Roman" w:cs="Times New Roman"/>
      <w:b/>
      <w:sz w:val="28"/>
      <w:szCs w:val="20"/>
      <w:lang w:val="fr-BE" w:eastAsia="en-GB"/>
    </w:rPr>
  </w:style>
  <w:style w:type="paragraph" w:styleId="NoSpacing">
    <w:name w:val="No Spacing"/>
    <w:uiPriority w:val="1"/>
    <w:qFormat/>
    <w:rsid w:val="00A41DAC"/>
    <w:pPr>
      <w:spacing w:after="0" w:line="240" w:lineRule="auto"/>
    </w:pPr>
    <w:rPr>
      <w:rFonts w:ascii="Times New Roman" w:eastAsia="Times New Roman" w:hAnsi="Times New Roman" w:cs="Times New Roman"/>
      <w:sz w:val="20"/>
      <w:szCs w:val="20"/>
      <w:lang w:eastAsia="en-GB"/>
    </w:rPr>
  </w:style>
  <w:style w:type="paragraph" w:customStyle="1" w:styleId="Style11ptJustifiedAfter12pt">
    <w:name w:val="Style 11 pt Justified After:  12 pt"/>
    <w:basedOn w:val="Normal"/>
    <w:link w:val="Style11ptJustifiedAfter12ptChar"/>
    <w:rsid w:val="00A41DAC"/>
    <w:pPr>
      <w:spacing w:before="0" w:after="120" w:line="240" w:lineRule="auto"/>
    </w:pPr>
    <w:rPr>
      <w:rFonts w:ascii="Times New Roman" w:eastAsia="Times New Roman" w:hAnsi="Times New Roman" w:cs="Times New Roman"/>
      <w:szCs w:val="20"/>
      <w:lang w:eastAsia="en-GB"/>
    </w:rPr>
  </w:style>
  <w:style w:type="character" w:customStyle="1" w:styleId="Style11ptJustifiedAfter12ptChar">
    <w:name w:val="Style 11 pt Justified After:  12 pt Char"/>
    <w:link w:val="Style11ptJustifiedAfter12pt"/>
    <w:rsid w:val="00A41DAC"/>
    <w:rPr>
      <w:rFonts w:ascii="Times New Roman" w:eastAsia="Times New Roman" w:hAnsi="Times New Roman" w:cs="Times New Roman"/>
      <w:szCs w:val="20"/>
      <w:lang w:eastAsia="en-GB"/>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A41DAC"/>
    <w:pPr>
      <w:pBdr>
        <w:top w:val="single" w:sz="4" w:space="1" w:color="auto"/>
        <w:left w:val="single" w:sz="4" w:space="4" w:color="auto"/>
        <w:bottom w:val="single" w:sz="4" w:space="1" w:color="auto"/>
        <w:right w:val="single" w:sz="4" w:space="4" w:color="auto"/>
      </w:pBdr>
      <w:spacing w:before="0" w:after="0" w:line="240" w:lineRule="auto"/>
    </w:pPr>
    <w:rPr>
      <w:rFonts w:ascii="Times New Roman" w:eastAsia="Times New Roman" w:hAnsi="Times New Roman" w:cs="Times New Roman"/>
      <w:lang w:eastAsia="en-GB"/>
    </w:rPr>
  </w:style>
  <w:style w:type="character" w:customStyle="1" w:styleId="StyleStyleLeftBoxSinglesolidlineAuto05ptLinewidthCh2Char">
    <w:name w:val="Style Style Left Box: (Single solid line Auto  05 pt Line width) Ch...2 Char"/>
    <w:link w:val="StyleStyleLeftBoxSinglesolidlineAuto05ptLinewidthCh2"/>
    <w:rsid w:val="00A41DAC"/>
    <w:rPr>
      <w:rFonts w:ascii="Times New Roman" w:eastAsia="Times New Roman" w:hAnsi="Times New Roman" w:cs="Times New Roman"/>
      <w:lang w:eastAsia="en-GB"/>
    </w:rPr>
  </w:style>
  <w:style w:type="character" w:customStyle="1" w:styleId="Style11pt">
    <w:name w:val="Style 11 pt"/>
    <w:rsid w:val="00A41DAC"/>
    <w:rPr>
      <w:sz w:val="22"/>
    </w:rPr>
  </w:style>
  <w:style w:type="paragraph" w:styleId="FootnoteText">
    <w:name w:val="footnote text"/>
    <w:basedOn w:val="Normal"/>
    <w:link w:val="FootnoteTextChar"/>
    <w:semiHidden/>
    <w:rsid w:val="005A7994"/>
    <w:pPr>
      <w:spacing w:before="0" w:after="240" w:line="240" w:lineRule="auto"/>
      <w:ind w:left="357" w:hanging="357"/>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semiHidden/>
    <w:rsid w:val="005A7994"/>
    <w:rPr>
      <w:rFonts w:ascii="Times New Roman" w:eastAsia="Times New Roman" w:hAnsi="Times New Roman" w:cs="Times New Roman"/>
      <w:sz w:val="20"/>
      <w:szCs w:val="20"/>
      <w:lang w:eastAsia="en-GB"/>
    </w:rPr>
  </w:style>
  <w:style w:type="paragraph" w:styleId="ListNumber">
    <w:name w:val="List Number"/>
    <w:basedOn w:val="Normal"/>
    <w:rsid w:val="005A7994"/>
    <w:pPr>
      <w:numPr>
        <w:numId w:val="28"/>
      </w:numPr>
      <w:spacing w:before="0" w:after="240" w:line="240" w:lineRule="auto"/>
    </w:pPr>
    <w:rPr>
      <w:rFonts w:ascii="Times New Roman" w:eastAsia="Times New Roman" w:hAnsi="Times New Roman" w:cs="Times New Roman"/>
      <w:sz w:val="24"/>
      <w:szCs w:val="20"/>
    </w:rPr>
  </w:style>
  <w:style w:type="character" w:styleId="FootnoteReference">
    <w:name w:val="footnote reference"/>
    <w:semiHidden/>
    <w:rsid w:val="005A7994"/>
    <w:rPr>
      <w:rFonts w:ascii="TimesNewRomanPS" w:hAnsi="TimesNewRomanPS"/>
      <w:position w:val="6"/>
      <w:sz w:val="16"/>
    </w:rPr>
  </w:style>
  <w:style w:type="paragraph" w:customStyle="1" w:styleId="ListNumberLevel2">
    <w:name w:val="List Number (Level 2)"/>
    <w:basedOn w:val="Normal"/>
    <w:rsid w:val="005A7994"/>
    <w:pPr>
      <w:numPr>
        <w:ilvl w:val="1"/>
        <w:numId w:val="28"/>
      </w:numPr>
      <w:spacing w:before="0" w:after="240" w:line="240" w:lineRule="auto"/>
    </w:pPr>
    <w:rPr>
      <w:rFonts w:ascii="Times New Roman" w:eastAsia="Times New Roman" w:hAnsi="Times New Roman" w:cs="Times New Roman"/>
      <w:sz w:val="24"/>
      <w:szCs w:val="20"/>
    </w:rPr>
  </w:style>
  <w:style w:type="paragraph" w:customStyle="1" w:styleId="ListNumberLevel3">
    <w:name w:val="List Number (Level 3)"/>
    <w:basedOn w:val="Normal"/>
    <w:rsid w:val="005A7994"/>
    <w:pPr>
      <w:numPr>
        <w:ilvl w:val="2"/>
        <w:numId w:val="28"/>
      </w:numPr>
      <w:spacing w:before="0" w:after="240" w:line="240" w:lineRule="auto"/>
    </w:pPr>
    <w:rPr>
      <w:rFonts w:ascii="Times New Roman" w:eastAsia="Times New Roman" w:hAnsi="Times New Roman" w:cs="Times New Roman"/>
      <w:sz w:val="24"/>
      <w:szCs w:val="20"/>
    </w:rPr>
  </w:style>
  <w:style w:type="paragraph" w:customStyle="1" w:styleId="ListNumberLevel4">
    <w:name w:val="List Number (Level 4)"/>
    <w:basedOn w:val="Normal"/>
    <w:rsid w:val="005A7994"/>
    <w:pPr>
      <w:numPr>
        <w:ilvl w:val="3"/>
        <w:numId w:val="28"/>
      </w:numPr>
      <w:spacing w:before="0" w:after="240" w:line="240" w:lineRule="auto"/>
    </w:pPr>
    <w:rPr>
      <w:rFonts w:ascii="Times New Roman" w:eastAsia="Times New Roman" w:hAnsi="Times New Roman" w:cs="Times New Roman"/>
      <w:sz w:val="24"/>
      <w:szCs w:val="20"/>
    </w:rPr>
  </w:style>
  <w:style w:type="paragraph" w:customStyle="1" w:styleId="StyleListNumber11ptBold">
    <w:name w:val="Style List Number + 11 pt Bold"/>
    <w:basedOn w:val="ListNumber"/>
    <w:autoRedefine/>
    <w:rsid w:val="005A7994"/>
    <w:pPr>
      <w:numPr>
        <w:numId w:val="0"/>
      </w:numPr>
      <w:spacing w:before="240" w:after="120"/>
      <w:ind w:left="567" w:hanging="567"/>
    </w:pPr>
    <w:rPr>
      <w:b/>
      <w:bCs/>
      <w:szCs w:val="24"/>
    </w:rPr>
  </w:style>
  <w:style w:type="paragraph" w:styleId="NormalWeb">
    <w:name w:val="Normal (Web)"/>
    <w:basedOn w:val="Normal"/>
    <w:uiPriority w:val="99"/>
    <w:unhideWhenUsed/>
    <w:rsid w:val="00D5356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dl-nadpis">
    <w:name w:val="oddíl-nadpis"/>
    <w:basedOn w:val="Normal"/>
    <w:rsid w:val="001C592C"/>
    <w:pPr>
      <w:keepNext/>
      <w:widowControl w:val="0"/>
      <w:tabs>
        <w:tab w:val="left" w:pos="567"/>
      </w:tabs>
      <w:spacing w:before="240" w:after="0" w:line="240" w:lineRule="exact"/>
    </w:pPr>
    <w:rPr>
      <w:rFonts w:ascii="Arial" w:eastAsia="Times New Roman" w:hAnsi="Arial" w:cs="Times New Roman"/>
      <w:b/>
      <w:snapToGrid w:val="0"/>
      <w:sz w:val="24"/>
      <w:szCs w:val="20"/>
      <w:lang w:val="cs-CZ"/>
    </w:rPr>
  </w:style>
  <w:style w:type="character" w:styleId="SubtleEmphasis">
    <w:name w:val="Subtle Emphasis"/>
    <w:basedOn w:val="DefaultParagraphFont"/>
    <w:uiPriority w:val="19"/>
    <w:qFormat/>
    <w:rsid w:val="001C592C"/>
    <w:rPr>
      <w:i/>
      <w:iCs/>
      <w:color w:val="404040" w:themeColor="text1" w:themeTint="BF"/>
    </w:rPr>
  </w:style>
  <w:style w:type="paragraph" w:customStyle="1" w:styleId="Default">
    <w:name w:val="Default"/>
    <w:rsid w:val="000F0794"/>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489470">
      <w:bodyDiv w:val="1"/>
      <w:marLeft w:val="0"/>
      <w:marRight w:val="0"/>
      <w:marTop w:val="0"/>
      <w:marBottom w:val="0"/>
      <w:divBdr>
        <w:top w:val="none" w:sz="0" w:space="0" w:color="auto"/>
        <w:left w:val="none" w:sz="0" w:space="0" w:color="auto"/>
        <w:bottom w:val="none" w:sz="0" w:space="0" w:color="auto"/>
        <w:right w:val="none" w:sz="0" w:space="0" w:color="auto"/>
      </w:divBdr>
      <w:divsChild>
        <w:div w:id="1079717095">
          <w:marLeft w:val="0"/>
          <w:marRight w:val="0"/>
          <w:marTop w:val="0"/>
          <w:marBottom w:val="0"/>
          <w:divBdr>
            <w:top w:val="none" w:sz="0" w:space="0" w:color="auto"/>
            <w:left w:val="none" w:sz="0" w:space="0" w:color="auto"/>
            <w:bottom w:val="none" w:sz="0" w:space="0" w:color="auto"/>
            <w:right w:val="none" w:sz="0" w:space="0" w:color="auto"/>
          </w:divBdr>
        </w:div>
      </w:divsChild>
    </w:div>
    <w:div w:id="1282491360">
      <w:bodyDiv w:val="1"/>
      <w:marLeft w:val="0"/>
      <w:marRight w:val="0"/>
      <w:marTop w:val="0"/>
      <w:marBottom w:val="0"/>
      <w:divBdr>
        <w:top w:val="none" w:sz="0" w:space="0" w:color="auto"/>
        <w:left w:val="none" w:sz="0" w:space="0" w:color="auto"/>
        <w:bottom w:val="none" w:sz="0" w:space="0" w:color="auto"/>
        <w:right w:val="none" w:sz="0" w:space="0" w:color="auto"/>
      </w:divBdr>
    </w:div>
    <w:div w:id="1461846688">
      <w:bodyDiv w:val="1"/>
      <w:marLeft w:val="0"/>
      <w:marRight w:val="0"/>
      <w:marTop w:val="0"/>
      <w:marBottom w:val="0"/>
      <w:divBdr>
        <w:top w:val="none" w:sz="0" w:space="0" w:color="auto"/>
        <w:left w:val="none" w:sz="0" w:space="0" w:color="auto"/>
        <w:bottom w:val="none" w:sz="0" w:space="0" w:color="auto"/>
        <w:right w:val="none" w:sz="0" w:space="0" w:color="auto"/>
      </w:divBdr>
    </w:div>
    <w:div w:id="1558202119">
      <w:bodyDiv w:val="1"/>
      <w:marLeft w:val="0"/>
      <w:marRight w:val="0"/>
      <w:marTop w:val="0"/>
      <w:marBottom w:val="0"/>
      <w:divBdr>
        <w:top w:val="none" w:sz="0" w:space="0" w:color="auto"/>
        <w:left w:val="none" w:sz="0" w:space="0" w:color="auto"/>
        <w:bottom w:val="none" w:sz="0" w:space="0" w:color="auto"/>
        <w:right w:val="none" w:sz="0" w:space="0" w:color="auto"/>
      </w:divBdr>
    </w:div>
    <w:div w:id="1650014486">
      <w:bodyDiv w:val="1"/>
      <w:marLeft w:val="0"/>
      <w:marRight w:val="0"/>
      <w:marTop w:val="0"/>
      <w:marBottom w:val="0"/>
      <w:divBdr>
        <w:top w:val="none" w:sz="0" w:space="0" w:color="auto"/>
        <w:left w:val="none" w:sz="0" w:space="0" w:color="auto"/>
        <w:bottom w:val="none" w:sz="0" w:space="0" w:color="auto"/>
        <w:right w:val="none" w:sz="0" w:space="0" w:color="auto"/>
      </w:divBdr>
    </w:div>
    <w:div w:id="209547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sile.ostafe@e-uvt.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ostafe@yahoo.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C9D4A-12F0-4FFE-9D07-0B5A15C27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5</Pages>
  <Words>1200</Words>
  <Characters>6843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 Bardos</dc:creator>
  <cp:keywords/>
  <dc:description/>
  <cp:lastModifiedBy>vasile.ostafe@e-uvt.ro</cp:lastModifiedBy>
  <cp:revision>24</cp:revision>
  <cp:lastPrinted>2019-10-21T10:02:00Z</cp:lastPrinted>
  <dcterms:created xsi:type="dcterms:W3CDTF">2019-12-11T14:43:00Z</dcterms:created>
  <dcterms:modified xsi:type="dcterms:W3CDTF">2020-03-06T11:10:00Z</dcterms:modified>
</cp:coreProperties>
</file>