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0578A" w14:textId="77777777" w:rsidR="00A41DAC" w:rsidRPr="00DB5BAE" w:rsidRDefault="00A41DAC" w:rsidP="00A41DAC">
      <w:pPr>
        <w:pStyle w:val="Header"/>
        <w:jc w:val="center"/>
        <w:rPr>
          <w:b/>
          <w:sz w:val="32"/>
          <w:szCs w:val="32"/>
          <w:lang w:val="en-US"/>
        </w:rPr>
      </w:pPr>
      <w:r w:rsidRPr="00DB5BAE">
        <w:rPr>
          <w:b/>
          <w:sz w:val="32"/>
          <w:szCs w:val="32"/>
          <w:lang w:val="en-US"/>
        </w:rPr>
        <w:t>INSTRUCTIONS TO TENDERERS</w:t>
      </w:r>
    </w:p>
    <w:p w14:paraId="3AF94D89" w14:textId="77777777" w:rsidR="00A41DAC" w:rsidRPr="00DB5BAE" w:rsidRDefault="00A41DAC" w:rsidP="00A41DAC">
      <w:pPr>
        <w:pStyle w:val="Subtitle"/>
        <w:spacing w:after="240"/>
        <w:rPr>
          <w:lang w:val="en-US"/>
        </w:rPr>
      </w:pPr>
    </w:p>
    <w:p w14:paraId="3EF24452" w14:textId="7DF6DCE7" w:rsidR="00A41DAC" w:rsidRPr="00DB5BAE" w:rsidRDefault="00A41DAC" w:rsidP="00A41DAC">
      <w:pPr>
        <w:pStyle w:val="Subtitle"/>
        <w:spacing w:after="240"/>
        <w:rPr>
          <w:lang w:val="en-US"/>
        </w:rPr>
      </w:pPr>
      <w:r w:rsidRPr="00DB5BAE">
        <w:rPr>
          <w:lang w:val="en-US"/>
        </w:rPr>
        <w:t xml:space="preserve">PUBLICATION REFERENCE: RORS-337 / </w:t>
      </w:r>
      <w:r w:rsidR="00AB773B" w:rsidRPr="00DB5BAE">
        <w:rPr>
          <w:lang w:val="en-US"/>
        </w:rPr>
        <w:t>WUT-</w:t>
      </w:r>
      <w:r w:rsidRPr="00DB5BAE">
        <w:rPr>
          <w:lang w:val="en-US"/>
        </w:rPr>
        <w:t>0</w:t>
      </w:r>
      <w:r w:rsidR="00AB773B" w:rsidRPr="00DB5BAE">
        <w:rPr>
          <w:lang w:val="en-US"/>
        </w:rPr>
        <w:t>7</w:t>
      </w:r>
    </w:p>
    <w:p w14:paraId="16869F0C" w14:textId="77777777" w:rsidR="003A72BC" w:rsidRPr="00DB5BAE" w:rsidRDefault="003A72BC" w:rsidP="00DB5BAE">
      <w:pPr>
        <w:rPr>
          <w:b/>
          <w:lang w:val="en-US"/>
        </w:rPr>
      </w:pPr>
      <w:r w:rsidRPr="00DB5BAE">
        <w:rPr>
          <w:b/>
          <w:lang w:val="en-US"/>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45905232" w14:textId="77777777" w:rsidR="003A72BC" w:rsidRPr="00DB5BAE" w:rsidRDefault="003A72BC" w:rsidP="00DB5BAE">
      <w:pPr>
        <w:rPr>
          <w:rFonts w:ascii="Times New Roman" w:hAnsi="Times New Roman"/>
          <w:b/>
          <w:lang w:val="en-US"/>
        </w:rPr>
      </w:pPr>
      <w:r w:rsidRPr="00DB5BAE">
        <w:rPr>
          <w:b/>
          <w:lang w:val="en-US"/>
        </w:rPr>
        <w:t>These Instructions set out the rules for the submission, selection and implementation of contracts financed under this call for tenders, in conformity with the Practical Guide (available on the Internet at:</w:t>
      </w:r>
      <w:r w:rsidRPr="00DB5BAE">
        <w:rPr>
          <w:rFonts w:ascii="Times New Roman" w:hAnsi="Times New Roman"/>
          <w:b/>
          <w:lang w:val="en-US"/>
        </w:rPr>
        <w:t xml:space="preserve"> </w:t>
      </w:r>
      <w:hyperlink r:id="rId8" w:history="1">
        <w:r w:rsidRPr="00DB5BAE">
          <w:rPr>
            <w:rStyle w:val="Hyperlink"/>
            <w:rFonts w:ascii="Times New Roman" w:hAnsi="Times New Roman"/>
            <w:b/>
            <w:lang w:val="en-US"/>
          </w:rPr>
          <w:t>http://ec.europa.eu/europeaid/prag/document.do</w:t>
        </w:r>
      </w:hyperlink>
      <w:r w:rsidRPr="00DB5BAE">
        <w:rPr>
          <w:rFonts w:ascii="Times New Roman" w:hAnsi="Times New Roman"/>
          <w:b/>
          <w:lang w:val="en-US"/>
        </w:rPr>
        <w:t>).</w:t>
      </w:r>
    </w:p>
    <w:p w14:paraId="4CAE22E7" w14:textId="0ACD79F7" w:rsidR="003A72BC" w:rsidRPr="00C96724" w:rsidRDefault="003A72BC" w:rsidP="00C96724">
      <w:pPr>
        <w:pStyle w:val="Heading1"/>
      </w:pPr>
      <w:bookmarkStart w:id="0" w:name="_Toc42488070"/>
      <w:r w:rsidRPr="00C96724">
        <w:t>1. Supplies to be provided</w:t>
      </w:r>
      <w:bookmarkEnd w:id="0"/>
    </w:p>
    <w:p w14:paraId="4F7DD07C" w14:textId="1C27DA5C" w:rsidR="003A72BC" w:rsidRPr="00DB5BAE" w:rsidRDefault="003A72BC" w:rsidP="00DB5BAE">
      <w:pPr>
        <w:rPr>
          <w:lang w:val="en-US"/>
        </w:rPr>
      </w:pPr>
      <w:r w:rsidRPr="00DB5BAE">
        <w:rPr>
          <w:b/>
          <w:lang w:val="en-US"/>
        </w:rPr>
        <w:t>1.1.</w:t>
      </w:r>
      <w:r w:rsidRPr="00DB5BAE">
        <w:rPr>
          <w:b/>
          <w:lang w:val="en-US"/>
        </w:rPr>
        <w:tab/>
      </w:r>
      <w:r w:rsidRPr="00DB5BAE">
        <w:rPr>
          <w:lang w:val="en-US"/>
        </w:rPr>
        <w:t xml:space="preserve">The subject of the contract is the supply, installation (as appropriate) by the Contractor of the following goods (laboratory equipment, instruments, chemicals, reagents, materials and other type of laboratory accessories and </w:t>
      </w:r>
      <w:r w:rsidR="00065AF0" w:rsidRPr="00DB5BAE">
        <w:rPr>
          <w:lang w:val="en-US"/>
        </w:rPr>
        <w:t>supplies</w:t>
      </w:r>
      <w:r w:rsidR="001136FB">
        <w:rPr>
          <w:lang w:val="en-US"/>
        </w:rPr>
        <w:t xml:space="preserve"> (details of the items from each category are presented in </w:t>
      </w:r>
      <w:r w:rsidR="001136FB" w:rsidRPr="001136FB">
        <w:rPr>
          <w:lang w:val="en-US"/>
        </w:rPr>
        <w:t>ANNEX II + III:</w:t>
      </w:r>
      <w:r w:rsidR="001136FB" w:rsidRPr="001136FB">
        <w:rPr>
          <w:lang w:val="en-US"/>
        </w:rPr>
        <w:tab/>
        <w:t xml:space="preserve"> TECHNICAL SPECIFICATIONS + TECHNICAL OFFER</w:t>
      </w:r>
      <w:r w:rsidR="001136FB">
        <w:rPr>
          <w:lang w:val="en-US"/>
        </w:rPr>
        <w:t xml:space="preserve"> document)</w:t>
      </w:r>
      <w:r w:rsidRPr="00DB5BAE">
        <w:rPr>
          <w:lang w:val="en-US"/>
        </w:rPr>
        <w:t>:</w:t>
      </w:r>
    </w:p>
    <w:tbl>
      <w:tblPr>
        <w:tblStyle w:val="TableGrid"/>
        <w:tblW w:w="0" w:type="auto"/>
        <w:tblLook w:val="04A0" w:firstRow="1" w:lastRow="0" w:firstColumn="1" w:lastColumn="0" w:noHBand="0" w:noVBand="1"/>
      </w:tblPr>
      <w:tblGrid>
        <w:gridCol w:w="988"/>
        <w:gridCol w:w="8923"/>
      </w:tblGrid>
      <w:tr w:rsidR="000A76E3" w:rsidRPr="00A94BA4" w14:paraId="6554FA35" w14:textId="77777777" w:rsidTr="00F34F78">
        <w:tc>
          <w:tcPr>
            <w:tcW w:w="988" w:type="dxa"/>
          </w:tcPr>
          <w:p w14:paraId="27484AAF" w14:textId="69E3252B" w:rsidR="000A76E3" w:rsidRPr="00A94BA4" w:rsidRDefault="000A76E3" w:rsidP="000A76E3">
            <w:pPr>
              <w:pStyle w:val="Table01"/>
              <w:rPr>
                <w:sz w:val="24"/>
                <w:lang w:val="en-US"/>
              </w:rPr>
            </w:pPr>
            <w:r w:rsidRPr="00A94BA4">
              <w:rPr>
                <w:sz w:val="24"/>
                <w:lang w:val="en-US"/>
              </w:rPr>
              <w:t>No.</w:t>
            </w:r>
          </w:p>
        </w:tc>
        <w:tc>
          <w:tcPr>
            <w:tcW w:w="8923" w:type="dxa"/>
          </w:tcPr>
          <w:p w14:paraId="5DBAE0F5" w14:textId="2AE68919" w:rsidR="000A76E3" w:rsidRPr="000A76E3" w:rsidRDefault="000A76E3" w:rsidP="000A76E3">
            <w:pPr>
              <w:pStyle w:val="Table01"/>
              <w:rPr>
                <w:sz w:val="24"/>
                <w:lang w:val="en-US"/>
              </w:rPr>
            </w:pPr>
            <w:r w:rsidRPr="00B86859">
              <w:rPr>
                <w:rFonts w:eastAsia="Times New Roman" w:cs="Times New Roman"/>
                <w:bCs/>
                <w:lang w:val="en-US" w:eastAsia="ro-RO"/>
              </w:rPr>
              <w:t>Categories of Research Equipment and Supplies</w:t>
            </w:r>
          </w:p>
        </w:tc>
      </w:tr>
      <w:tr w:rsidR="000A76E3" w:rsidRPr="00A94BA4" w14:paraId="6D85AFDF" w14:textId="77777777" w:rsidTr="00F34F78">
        <w:tc>
          <w:tcPr>
            <w:tcW w:w="988" w:type="dxa"/>
          </w:tcPr>
          <w:p w14:paraId="0899594E" w14:textId="4F14DF9F" w:rsidR="000A76E3" w:rsidRPr="00A94BA4" w:rsidRDefault="000A76E3" w:rsidP="000A76E3">
            <w:pPr>
              <w:pStyle w:val="Table01"/>
              <w:rPr>
                <w:b w:val="0"/>
                <w:sz w:val="24"/>
                <w:lang w:val="en-US"/>
              </w:rPr>
            </w:pPr>
            <w:r w:rsidRPr="00A94BA4">
              <w:rPr>
                <w:b w:val="0"/>
                <w:sz w:val="24"/>
                <w:lang w:val="en-US"/>
              </w:rPr>
              <w:t>1</w:t>
            </w:r>
          </w:p>
        </w:tc>
        <w:tc>
          <w:tcPr>
            <w:tcW w:w="8923" w:type="dxa"/>
          </w:tcPr>
          <w:p w14:paraId="7E03A95F" w14:textId="507C7EDC" w:rsidR="000A76E3" w:rsidRPr="00A94BA4" w:rsidRDefault="000A76E3" w:rsidP="000A76E3">
            <w:pPr>
              <w:pStyle w:val="Table01"/>
              <w:jc w:val="left"/>
              <w:rPr>
                <w:b w:val="0"/>
                <w:lang w:val="en-US"/>
              </w:rPr>
            </w:pPr>
            <w:r w:rsidRPr="00A94BA4">
              <w:rPr>
                <w:b w:val="0"/>
                <w:lang w:val="en-US"/>
              </w:rPr>
              <w:t>Multimode microplate reader (with accessories, installation, training)</w:t>
            </w:r>
          </w:p>
        </w:tc>
      </w:tr>
      <w:tr w:rsidR="000A76E3" w:rsidRPr="00A94BA4" w14:paraId="5417878E" w14:textId="77777777" w:rsidTr="00F34F78">
        <w:tc>
          <w:tcPr>
            <w:tcW w:w="988" w:type="dxa"/>
          </w:tcPr>
          <w:p w14:paraId="3AC0B5CA" w14:textId="25B84707" w:rsidR="000A76E3" w:rsidRPr="00A94BA4" w:rsidRDefault="000A76E3" w:rsidP="000A76E3">
            <w:pPr>
              <w:pStyle w:val="Table01"/>
              <w:rPr>
                <w:b w:val="0"/>
                <w:sz w:val="24"/>
                <w:lang w:val="en-US"/>
              </w:rPr>
            </w:pPr>
            <w:r w:rsidRPr="00A94BA4">
              <w:rPr>
                <w:b w:val="0"/>
                <w:sz w:val="24"/>
                <w:lang w:val="en-US"/>
              </w:rPr>
              <w:t>2</w:t>
            </w:r>
          </w:p>
        </w:tc>
        <w:tc>
          <w:tcPr>
            <w:tcW w:w="8923" w:type="dxa"/>
          </w:tcPr>
          <w:p w14:paraId="0E0AEC4A" w14:textId="64496922" w:rsidR="000A76E3" w:rsidRPr="00A94BA4" w:rsidRDefault="000A76E3" w:rsidP="000A76E3">
            <w:pPr>
              <w:pStyle w:val="Table01"/>
              <w:jc w:val="left"/>
              <w:rPr>
                <w:b w:val="0"/>
                <w:lang w:val="en-US"/>
              </w:rPr>
            </w:pPr>
            <w:r w:rsidRPr="00A94BA4">
              <w:rPr>
                <w:b w:val="0"/>
                <w:lang w:val="en-US"/>
              </w:rPr>
              <w:t>Automated complex brightfield inverted microscope (with accessories, installation, training)</w:t>
            </w:r>
          </w:p>
        </w:tc>
      </w:tr>
      <w:tr w:rsidR="000A76E3" w:rsidRPr="00A94BA4" w14:paraId="4E61E9B3" w14:textId="77777777" w:rsidTr="00F34F78">
        <w:tc>
          <w:tcPr>
            <w:tcW w:w="988" w:type="dxa"/>
          </w:tcPr>
          <w:p w14:paraId="422579B6" w14:textId="1D4F65BA" w:rsidR="000A76E3" w:rsidRPr="00A94BA4" w:rsidRDefault="000A76E3" w:rsidP="000A76E3">
            <w:pPr>
              <w:pStyle w:val="Table01"/>
              <w:rPr>
                <w:b w:val="0"/>
                <w:sz w:val="24"/>
                <w:lang w:val="en-US"/>
              </w:rPr>
            </w:pPr>
            <w:r w:rsidRPr="00A94BA4">
              <w:rPr>
                <w:b w:val="0"/>
                <w:sz w:val="24"/>
                <w:lang w:val="en-US"/>
              </w:rPr>
              <w:t>3</w:t>
            </w:r>
          </w:p>
        </w:tc>
        <w:tc>
          <w:tcPr>
            <w:tcW w:w="8923" w:type="dxa"/>
          </w:tcPr>
          <w:p w14:paraId="32BB16AE" w14:textId="61A7C4BB" w:rsidR="000A76E3" w:rsidRPr="00A94BA4" w:rsidRDefault="000A76E3" w:rsidP="000A76E3">
            <w:pPr>
              <w:pStyle w:val="Table01"/>
              <w:jc w:val="left"/>
              <w:rPr>
                <w:b w:val="0"/>
                <w:lang w:val="en-US"/>
              </w:rPr>
            </w:pPr>
            <w:r w:rsidRPr="00A94BA4">
              <w:rPr>
                <w:b w:val="0"/>
                <w:lang w:val="en-US"/>
              </w:rPr>
              <w:t>Laboratory equipment and instruments (with accessories, installation, training, as appropriate)</w:t>
            </w:r>
          </w:p>
        </w:tc>
      </w:tr>
      <w:tr w:rsidR="000A76E3" w:rsidRPr="00A94BA4" w14:paraId="34ABE99B" w14:textId="77777777" w:rsidTr="00F34F78">
        <w:tc>
          <w:tcPr>
            <w:tcW w:w="988" w:type="dxa"/>
          </w:tcPr>
          <w:p w14:paraId="2CA84AAC" w14:textId="422DB9BF" w:rsidR="000A76E3" w:rsidRPr="00A94BA4" w:rsidRDefault="000A76E3" w:rsidP="000A76E3">
            <w:pPr>
              <w:pStyle w:val="Table01"/>
              <w:rPr>
                <w:b w:val="0"/>
                <w:sz w:val="24"/>
                <w:lang w:val="en-US"/>
              </w:rPr>
            </w:pPr>
            <w:r w:rsidRPr="00A94BA4">
              <w:rPr>
                <w:b w:val="0"/>
                <w:sz w:val="24"/>
                <w:lang w:val="en-US"/>
              </w:rPr>
              <w:t>4</w:t>
            </w:r>
          </w:p>
        </w:tc>
        <w:tc>
          <w:tcPr>
            <w:tcW w:w="8923" w:type="dxa"/>
          </w:tcPr>
          <w:p w14:paraId="4F4567CC" w14:textId="4FB55727" w:rsidR="000A76E3" w:rsidRPr="00A94BA4" w:rsidRDefault="000A76E3" w:rsidP="000A76E3">
            <w:pPr>
              <w:pStyle w:val="Table01"/>
              <w:jc w:val="left"/>
              <w:rPr>
                <w:b w:val="0"/>
                <w:lang w:val="en-US"/>
              </w:rPr>
            </w:pPr>
            <w:r w:rsidRPr="00A94BA4">
              <w:rPr>
                <w:b w:val="0"/>
                <w:lang w:val="en-US"/>
              </w:rPr>
              <w:t>Chemicals and reagents (according with the detailed list)</w:t>
            </w:r>
          </w:p>
        </w:tc>
      </w:tr>
      <w:tr w:rsidR="000A76E3" w:rsidRPr="00A94BA4" w14:paraId="39658B9D" w14:textId="77777777" w:rsidTr="00F34F78">
        <w:tc>
          <w:tcPr>
            <w:tcW w:w="988" w:type="dxa"/>
          </w:tcPr>
          <w:p w14:paraId="2F1EE6DE" w14:textId="07A9D337" w:rsidR="000A76E3" w:rsidRPr="00A94BA4" w:rsidRDefault="000A76E3" w:rsidP="000A76E3">
            <w:pPr>
              <w:pStyle w:val="Table01"/>
              <w:rPr>
                <w:b w:val="0"/>
                <w:sz w:val="24"/>
                <w:lang w:val="en-US"/>
              </w:rPr>
            </w:pPr>
            <w:r w:rsidRPr="00A94BA4">
              <w:rPr>
                <w:b w:val="0"/>
                <w:sz w:val="24"/>
                <w:lang w:val="en-US"/>
              </w:rPr>
              <w:t>5</w:t>
            </w:r>
          </w:p>
        </w:tc>
        <w:tc>
          <w:tcPr>
            <w:tcW w:w="8923" w:type="dxa"/>
          </w:tcPr>
          <w:p w14:paraId="4F8B987B" w14:textId="15D7A34D" w:rsidR="000A76E3" w:rsidRPr="00A94BA4" w:rsidRDefault="000A76E3" w:rsidP="000A76E3">
            <w:pPr>
              <w:pStyle w:val="Table01"/>
              <w:jc w:val="left"/>
              <w:rPr>
                <w:b w:val="0"/>
                <w:lang w:val="en-US"/>
              </w:rPr>
            </w:pPr>
            <w:r w:rsidRPr="00A94BA4">
              <w:rPr>
                <w:b w:val="0"/>
                <w:lang w:val="en-US"/>
              </w:rPr>
              <w:t>Laboratory materials (according with the detailed list)</w:t>
            </w:r>
          </w:p>
        </w:tc>
      </w:tr>
      <w:tr w:rsidR="000A76E3" w:rsidRPr="00A94BA4" w14:paraId="58EA3F97" w14:textId="77777777" w:rsidTr="00F34F78">
        <w:tc>
          <w:tcPr>
            <w:tcW w:w="988" w:type="dxa"/>
          </w:tcPr>
          <w:p w14:paraId="1741C9FF" w14:textId="2D966C9B" w:rsidR="000A76E3" w:rsidRPr="00A94BA4" w:rsidRDefault="000A76E3" w:rsidP="000A76E3">
            <w:pPr>
              <w:pStyle w:val="Table01"/>
              <w:rPr>
                <w:b w:val="0"/>
                <w:sz w:val="24"/>
                <w:lang w:val="en-US"/>
              </w:rPr>
            </w:pPr>
            <w:r w:rsidRPr="00A94BA4">
              <w:rPr>
                <w:b w:val="0"/>
                <w:sz w:val="24"/>
                <w:lang w:val="en-US"/>
              </w:rPr>
              <w:t>6</w:t>
            </w:r>
          </w:p>
        </w:tc>
        <w:tc>
          <w:tcPr>
            <w:tcW w:w="8923" w:type="dxa"/>
          </w:tcPr>
          <w:p w14:paraId="51EF0045" w14:textId="01E839BB" w:rsidR="000A76E3" w:rsidRPr="00A94BA4" w:rsidRDefault="000A76E3" w:rsidP="000A76E3">
            <w:pPr>
              <w:pStyle w:val="Table01"/>
              <w:jc w:val="left"/>
              <w:rPr>
                <w:b w:val="0"/>
                <w:lang w:val="en-US"/>
              </w:rPr>
            </w:pPr>
            <w:r w:rsidRPr="00A94BA4">
              <w:rPr>
                <w:b w:val="0"/>
                <w:lang w:val="en-US"/>
              </w:rPr>
              <w:t>Consumables for laboratory use (according with the detailed list)</w:t>
            </w:r>
          </w:p>
        </w:tc>
      </w:tr>
      <w:tr w:rsidR="000A76E3" w:rsidRPr="00A94BA4" w14:paraId="12C226DE" w14:textId="77777777" w:rsidTr="00F34F78">
        <w:tc>
          <w:tcPr>
            <w:tcW w:w="988" w:type="dxa"/>
          </w:tcPr>
          <w:p w14:paraId="3774F00D" w14:textId="7ED14D99" w:rsidR="000A76E3" w:rsidRPr="00A94BA4" w:rsidRDefault="000A76E3" w:rsidP="000A76E3">
            <w:pPr>
              <w:pStyle w:val="Table01"/>
              <w:rPr>
                <w:b w:val="0"/>
                <w:sz w:val="24"/>
                <w:lang w:val="en-US"/>
              </w:rPr>
            </w:pPr>
            <w:r w:rsidRPr="00A94BA4">
              <w:rPr>
                <w:b w:val="0"/>
                <w:sz w:val="24"/>
                <w:lang w:val="en-US"/>
              </w:rPr>
              <w:t>7</w:t>
            </w:r>
          </w:p>
        </w:tc>
        <w:tc>
          <w:tcPr>
            <w:tcW w:w="8923" w:type="dxa"/>
          </w:tcPr>
          <w:p w14:paraId="1C2A0302" w14:textId="7BFE4CDE" w:rsidR="000A76E3" w:rsidRPr="00A94BA4" w:rsidRDefault="000A76E3" w:rsidP="000A76E3">
            <w:pPr>
              <w:pStyle w:val="Table01"/>
              <w:jc w:val="left"/>
              <w:rPr>
                <w:b w:val="0"/>
                <w:lang w:val="en-US"/>
              </w:rPr>
            </w:pPr>
            <w:r w:rsidRPr="00A94BA4">
              <w:rPr>
                <w:b w:val="0"/>
                <w:lang w:val="en-US"/>
              </w:rPr>
              <w:t>Culture media for microorganisms and organisms, for ecotoxicological studies (according with the detailed list)</w:t>
            </w:r>
          </w:p>
        </w:tc>
      </w:tr>
    </w:tbl>
    <w:p w14:paraId="1A8B700E" w14:textId="77777777" w:rsidR="003A72BC" w:rsidRPr="00DB5BAE" w:rsidRDefault="003A72BC" w:rsidP="00226D3B">
      <w:pPr>
        <w:rPr>
          <w:lang w:val="en-US"/>
        </w:rPr>
      </w:pPr>
    </w:p>
    <w:p w14:paraId="0D06AFDB" w14:textId="0E05A976" w:rsidR="00226D3B" w:rsidRDefault="003A72BC" w:rsidP="00226D3B">
      <w:pPr>
        <w:rPr>
          <w:lang w:val="en-US"/>
        </w:rPr>
      </w:pPr>
      <w:r w:rsidRPr="00DB5BAE">
        <w:rPr>
          <w:lang w:val="en-US"/>
        </w:rPr>
        <w:t xml:space="preserve">at </w:t>
      </w:r>
      <w:r w:rsidR="00226D3B" w:rsidRPr="00DB5BAE">
        <w:rPr>
          <w:lang w:val="en-US"/>
        </w:rPr>
        <w:t>West University of Timisoara (</w:t>
      </w:r>
      <w:proofErr w:type="spellStart"/>
      <w:r w:rsidR="00226D3B" w:rsidRPr="00DB5BAE">
        <w:rPr>
          <w:lang w:val="en-US"/>
        </w:rPr>
        <w:t>Universitatea</w:t>
      </w:r>
      <w:proofErr w:type="spellEnd"/>
      <w:r w:rsidR="00226D3B" w:rsidRPr="00DB5BAE">
        <w:rPr>
          <w:lang w:val="en-US"/>
        </w:rPr>
        <w:t xml:space="preserve"> de Vest din </w:t>
      </w:r>
      <w:proofErr w:type="spellStart"/>
      <w:r w:rsidR="00226D3B" w:rsidRPr="00DB5BAE">
        <w:rPr>
          <w:lang w:val="en-US"/>
        </w:rPr>
        <w:t>Timișoara</w:t>
      </w:r>
      <w:proofErr w:type="spellEnd"/>
      <w:r w:rsidR="00226D3B" w:rsidRPr="00DB5BAE">
        <w:rPr>
          <w:lang w:val="en-US"/>
        </w:rPr>
        <w:t xml:space="preserve">), </w:t>
      </w:r>
      <w:proofErr w:type="spellStart"/>
      <w:r w:rsidR="00226D3B" w:rsidRPr="00DB5BAE">
        <w:rPr>
          <w:lang w:val="en-US"/>
        </w:rPr>
        <w:t>Blv</w:t>
      </w:r>
      <w:proofErr w:type="spellEnd"/>
      <w:r w:rsidR="00226D3B" w:rsidRPr="00DB5BAE">
        <w:rPr>
          <w:lang w:val="en-US"/>
        </w:rPr>
        <w:t xml:space="preserve">. V. </w:t>
      </w:r>
      <w:proofErr w:type="spellStart"/>
      <w:r w:rsidR="00226D3B" w:rsidRPr="00DB5BAE">
        <w:rPr>
          <w:lang w:val="en-US"/>
        </w:rPr>
        <w:t>Pârvan</w:t>
      </w:r>
      <w:proofErr w:type="spellEnd"/>
      <w:r w:rsidR="00226D3B" w:rsidRPr="00DB5BAE">
        <w:rPr>
          <w:lang w:val="en-US"/>
        </w:rPr>
        <w:t xml:space="preserve"> 4, 300223, </w:t>
      </w:r>
      <w:proofErr w:type="spellStart"/>
      <w:r w:rsidR="00226D3B" w:rsidRPr="00DB5BAE">
        <w:rPr>
          <w:lang w:val="en-US"/>
        </w:rPr>
        <w:t>Timișoara</w:t>
      </w:r>
      <w:proofErr w:type="spellEnd"/>
      <w:r w:rsidR="00226D3B" w:rsidRPr="00DB5BAE">
        <w:rPr>
          <w:lang w:val="en-US"/>
        </w:rPr>
        <w:t>, ROM</w:t>
      </w:r>
      <w:r w:rsidR="00DB5BAE" w:rsidRPr="00DB5BAE">
        <w:rPr>
          <w:lang w:val="en-US"/>
        </w:rPr>
        <w:t>ÂNIA and the implementation</w:t>
      </w:r>
      <w:r w:rsidR="00226D3B" w:rsidRPr="00DB5BAE">
        <w:rPr>
          <w:lang w:val="en-US"/>
        </w:rPr>
        <w:t xml:space="preserve"> period </w:t>
      </w:r>
      <w:r w:rsidR="00DB5BAE">
        <w:rPr>
          <w:lang w:val="en-US"/>
        </w:rPr>
        <w:t xml:space="preserve">of 60 days, from the contract signature. </w:t>
      </w:r>
    </w:p>
    <w:p w14:paraId="0A42BCA2" w14:textId="77777777" w:rsidR="00DB5BAE" w:rsidRPr="00DB5BAE" w:rsidRDefault="00DB5BAE" w:rsidP="00226D3B">
      <w:pPr>
        <w:rPr>
          <w:lang w:val="en-US"/>
        </w:rPr>
      </w:pPr>
    </w:p>
    <w:p w14:paraId="19426FFF" w14:textId="283C1291" w:rsidR="003A72BC" w:rsidRPr="00DB5BAE" w:rsidRDefault="003A72BC" w:rsidP="00DB5BAE">
      <w:pPr>
        <w:rPr>
          <w:lang w:val="en-US"/>
        </w:rPr>
      </w:pPr>
      <w:bookmarkStart w:id="1" w:name="_Ref499723935"/>
      <w:bookmarkStart w:id="2" w:name="_Ref500330319"/>
      <w:r w:rsidRPr="00DB5BAE">
        <w:rPr>
          <w:b/>
          <w:lang w:val="en-US"/>
        </w:rPr>
        <w:lastRenderedPageBreak/>
        <w:t>1.2</w:t>
      </w:r>
      <w:r w:rsidR="00DB5BAE">
        <w:rPr>
          <w:b/>
          <w:lang w:val="en-US"/>
        </w:rPr>
        <w:t>.</w:t>
      </w:r>
      <w:r w:rsidRPr="00DB5BAE">
        <w:rPr>
          <w:b/>
          <w:lang w:val="en-US"/>
        </w:rPr>
        <w:tab/>
      </w:r>
      <w:r w:rsidRPr="00DB5BAE">
        <w:rPr>
          <w:lang w:val="en-US"/>
        </w:rPr>
        <w:t>The supplies must comply fully with the technical specifications set out in the tender dossier (technical annex) and conform in all respects with the drawings, quantities, models, samples, measurements and other instructions.</w:t>
      </w:r>
    </w:p>
    <w:bookmarkEnd w:id="1"/>
    <w:bookmarkEnd w:id="2"/>
    <w:p w14:paraId="24CF523F" w14:textId="23A10989" w:rsidR="003A72BC" w:rsidRPr="00DB5BAE" w:rsidRDefault="003A72BC" w:rsidP="00DB5BAE">
      <w:pPr>
        <w:rPr>
          <w:lang w:val="en-US"/>
        </w:rPr>
      </w:pPr>
      <w:r w:rsidRPr="00DB5BAE">
        <w:rPr>
          <w:b/>
          <w:lang w:val="en-US"/>
        </w:rPr>
        <w:t>1.3</w:t>
      </w:r>
      <w:r w:rsidR="00DB5BAE">
        <w:rPr>
          <w:b/>
          <w:lang w:val="en-US"/>
        </w:rPr>
        <w:t>.</w:t>
      </w:r>
      <w:r w:rsidRPr="00DB5BAE">
        <w:rPr>
          <w:b/>
          <w:lang w:val="en-US"/>
        </w:rPr>
        <w:tab/>
      </w:r>
      <w:r w:rsidRPr="00DB5BAE">
        <w:rPr>
          <w:lang w:val="en-US"/>
        </w:rPr>
        <w:t>N/A</w:t>
      </w:r>
    </w:p>
    <w:p w14:paraId="4092EEBD" w14:textId="2C16412B" w:rsidR="003A72BC" w:rsidRPr="00DB5BAE" w:rsidRDefault="003A72BC" w:rsidP="00DB5BAE">
      <w:pPr>
        <w:rPr>
          <w:lang w:val="en-US"/>
        </w:rPr>
      </w:pPr>
      <w:r w:rsidRPr="00DB5BAE">
        <w:rPr>
          <w:b/>
          <w:lang w:val="en-US"/>
        </w:rPr>
        <w:t>1.4</w:t>
      </w:r>
      <w:r w:rsidR="00DB5BAE" w:rsidRPr="00DB5BAE">
        <w:rPr>
          <w:b/>
          <w:lang w:val="en-US"/>
        </w:rPr>
        <w:t>.</w:t>
      </w:r>
      <w:r w:rsidRPr="00DB5BAE">
        <w:rPr>
          <w:lang w:val="en-US"/>
        </w:rPr>
        <w:t xml:space="preserve"> </w:t>
      </w:r>
      <w:r w:rsidR="00DB5BAE">
        <w:rPr>
          <w:lang w:val="en-US"/>
        </w:rPr>
        <w:tab/>
      </w:r>
      <w:r w:rsidRPr="00DB5BAE">
        <w:rPr>
          <w:lang w:val="en-US"/>
        </w:rPr>
        <w:t xml:space="preserve">Tenderers are not </w:t>
      </w:r>
      <w:r w:rsidR="00DB5BAE" w:rsidRPr="00DB5BAE">
        <w:rPr>
          <w:lang w:val="en-US"/>
        </w:rPr>
        <w:t>authorized</w:t>
      </w:r>
      <w:r w:rsidRPr="00DB5BAE">
        <w:rPr>
          <w:lang w:val="en-US"/>
        </w:rPr>
        <w:t xml:space="preserve"> to tender for a variant solution in addition to the present tender. </w:t>
      </w:r>
      <w:r w:rsidRPr="00DB5BAE">
        <w:rPr>
          <w:lang w:val="en-US"/>
        </w:rPr>
        <w:br/>
      </w:r>
    </w:p>
    <w:p w14:paraId="5FDD96CF" w14:textId="6CCED1FB" w:rsidR="003A72BC" w:rsidRPr="00DB5BAE" w:rsidRDefault="00DB5BAE" w:rsidP="00C96724">
      <w:pPr>
        <w:pStyle w:val="Heading1"/>
      </w:pPr>
      <w:bookmarkStart w:id="3" w:name="_Toc42488071"/>
      <w:r>
        <w:t xml:space="preserve">2. </w:t>
      </w:r>
      <w:r w:rsidR="003A72BC" w:rsidRPr="00DB5BAE">
        <w:t>Timetable</w:t>
      </w:r>
      <w:bookmarkEnd w:id="3"/>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3A72BC" w:rsidRPr="00DB5BAE" w14:paraId="16A43BA3" w14:textId="77777777" w:rsidTr="00866AAD">
        <w:tc>
          <w:tcPr>
            <w:tcW w:w="3969" w:type="dxa"/>
            <w:tcBorders>
              <w:bottom w:val="nil"/>
            </w:tcBorders>
          </w:tcPr>
          <w:p w14:paraId="52EF6E59" w14:textId="77777777" w:rsidR="003A72BC" w:rsidRPr="00DB5BAE" w:rsidRDefault="003A72BC" w:rsidP="00C96724">
            <w:pPr>
              <w:pStyle w:val="Table01"/>
              <w:rPr>
                <w:lang w:val="en-US"/>
              </w:rPr>
            </w:pPr>
          </w:p>
        </w:tc>
        <w:tc>
          <w:tcPr>
            <w:tcW w:w="2410" w:type="dxa"/>
            <w:shd w:val="pct10" w:color="auto" w:fill="FFFFFF"/>
          </w:tcPr>
          <w:p w14:paraId="46691C6E" w14:textId="77777777" w:rsidR="003A72BC" w:rsidRPr="00DB5BAE" w:rsidRDefault="003A72BC" w:rsidP="00C96724">
            <w:pPr>
              <w:pStyle w:val="Table01"/>
              <w:rPr>
                <w:sz w:val="18"/>
                <w:lang w:val="en-US"/>
              </w:rPr>
            </w:pPr>
            <w:r w:rsidRPr="00DB5BAE">
              <w:rPr>
                <w:sz w:val="18"/>
                <w:lang w:val="en-US"/>
              </w:rPr>
              <w:t>DATE</w:t>
            </w:r>
          </w:p>
        </w:tc>
        <w:tc>
          <w:tcPr>
            <w:tcW w:w="2268" w:type="dxa"/>
            <w:tcBorders>
              <w:bottom w:val="nil"/>
            </w:tcBorders>
            <w:shd w:val="pct10" w:color="auto" w:fill="FFFFFF"/>
          </w:tcPr>
          <w:p w14:paraId="49748878" w14:textId="77777777" w:rsidR="003A72BC" w:rsidRPr="00DB5BAE" w:rsidRDefault="003A72BC" w:rsidP="00C96724">
            <w:pPr>
              <w:pStyle w:val="Table01"/>
              <w:rPr>
                <w:sz w:val="18"/>
                <w:lang w:val="en-US"/>
              </w:rPr>
            </w:pPr>
            <w:r w:rsidRPr="00DB5BAE">
              <w:rPr>
                <w:sz w:val="18"/>
                <w:lang w:val="en-US"/>
              </w:rPr>
              <w:t>TIME*</w:t>
            </w:r>
          </w:p>
        </w:tc>
      </w:tr>
      <w:tr w:rsidR="00DD682C" w:rsidRPr="00DB5BAE" w14:paraId="5F6DEE76" w14:textId="77777777" w:rsidTr="00866AAD">
        <w:tc>
          <w:tcPr>
            <w:tcW w:w="3969" w:type="dxa"/>
            <w:shd w:val="pct10" w:color="auto" w:fill="FFFFFF"/>
          </w:tcPr>
          <w:p w14:paraId="3590A01A" w14:textId="40436389" w:rsidR="00DD682C" w:rsidRPr="00DB5BAE" w:rsidRDefault="00DD682C" w:rsidP="00DD682C">
            <w:pPr>
              <w:pStyle w:val="Table01"/>
              <w:rPr>
                <w:sz w:val="22"/>
                <w:lang w:val="en-US"/>
              </w:rPr>
            </w:pPr>
            <w:r>
              <w:rPr>
                <w:b w:val="0"/>
                <w:bCs/>
                <w:sz w:val="22"/>
                <w:lang w:val="en-US"/>
              </w:rPr>
              <w:t>Clarification meeting / site visit (if any)</w:t>
            </w:r>
          </w:p>
        </w:tc>
        <w:tc>
          <w:tcPr>
            <w:tcW w:w="2410" w:type="dxa"/>
          </w:tcPr>
          <w:p w14:paraId="085ACEA7" w14:textId="7EC69207" w:rsidR="00DD682C" w:rsidRPr="00DB5BAE" w:rsidRDefault="00DD682C" w:rsidP="00DD682C">
            <w:pPr>
              <w:pStyle w:val="Table01"/>
              <w:rPr>
                <w:sz w:val="22"/>
                <w:lang w:val="en-US"/>
              </w:rPr>
            </w:pPr>
            <w:r>
              <w:rPr>
                <w:b w:val="0"/>
                <w:bCs/>
                <w:sz w:val="22"/>
                <w:lang w:val="en-US"/>
              </w:rPr>
              <w:t>Not applicable</w:t>
            </w:r>
          </w:p>
        </w:tc>
        <w:tc>
          <w:tcPr>
            <w:tcW w:w="2268" w:type="dxa"/>
          </w:tcPr>
          <w:p w14:paraId="1EB6A1E7" w14:textId="15937C96" w:rsidR="00DD682C" w:rsidRPr="00DB5BAE" w:rsidRDefault="00DD682C" w:rsidP="00DD682C">
            <w:pPr>
              <w:pStyle w:val="Table01"/>
              <w:rPr>
                <w:sz w:val="22"/>
                <w:lang w:val="en-US"/>
              </w:rPr>
            </w:pPr>
            <w:r>
              <w:rPr>
                <w:b w:val="0"/>
                <w:bCs/>
                <w:sz w:val="22"/>
                <w:lang w:val="en-US"/>
              </w:rPr>
              <w:t>Not applicable</w:t>
            </w:r>
          </w:p>
        </w:tc>
      </w:tr>
      <w:tr w:rsidR="00BB538D" w:rsidRPr="00BB538D" w14:paraId="430C8416" w14:textId="77777777" w:rsidTr="00866AAD">
        <w:tc>
          <w:tcPr>
            <w:tcW w:w="3969" w:type="dxa"/>
            <w:shd w:val="pct10" w:color="auto" w:fill="FFFFFF"/>
          </w:tcPr>
          <w:p w14:paraId="17621304" w14:textId="08F6BA23" w:rsidR="00DD682C" w:rsidRPr="00BB538D" w:rsidRDefault="00DD682C" w:rsidP="00DD682C">
            <w:pPr>
              <w:pStyle w:val="Table01"/>
              <w:rPr>
                <w:sz w:val="22"/>
                <w:lang w:val="en-US"/>
              </w:rPr>
            </w:pPr>
            <w:r w:rsidRPr="00BB538D">
              <w:rPr>
                <w:b w:val="0"/>
                <w:bCs/>
                <w:sz w:val="22"/>
                <w:lang w:val="en-US"/>
              </w:rPr>
              <w:t>Deadline for requesting clarifications from the Contracting Authority</w:t>
            </w:r>
          </w:p>
        </w:tc>
        <w:tc>
          <w:tcPr>
            <w:tcW w:w="2410" w:type="dxa"/>
          </w:tcPr>
          <w:p w14:paraId="28803461" w14:textId="606ED33C" w:rsidR="00DD682C" w:rsidRPr="00BB538D" w:rsidRDefault="00BB538D" w:rsidP="007533DB">
            <w:pPr>
              <w:pStyle w:val="Table01"/>
              <w:rPr>
                <w:sz w:val="22"/>
                <w:lang w:val="en-US"/>
              </w:rPr>
            </w:pPr>
            <w:r w:rsidRPr="00BB538D">
              <w:rPr>
                <w:b w:val="0"/>
                <w:bCs/>
                <w:sz w:val="22"/>
                <w:lang w:val="en-US"/>
              </w:rPr>
              <w:t>20</w:t>
            </w:r>
            <w:r w:rsidR="007533DB" w:rsidRPr="00BB538D">
              <w:rPr>
                <w:b w:val="0"/>
                <w:bCs/>
                <w:sz w:val="22"/>
                <w:lang w:val="en-US"/>
              </w:rPr>
              <w:t>.03.2020</w:t>
            </w:r>
          </w:p>
        </w:tc>
        <w:tc>
          <w:tcPr>
            <w:tcW w:w="2268" w:type="dxa"/>
          </w:tcPr>
          <w:p w14:paraId="5966425B" w14:textId="63515C18" w:rsidR="00DD682C" w:rsidRPr="00BB538D" w:rsidRDefault="00DD682C" w:rsidP="00DD682C">
            <w:pPr>
              <w:pStyle w:val="Table01"/>
              <w:rPr>
                <w:sz w:val="22"/>
                <w:lang w:val="en-US"/>
              </w:rPr>
            </w:pPr>
            <w:r w:rsidRPr="00BB538D">
              <w:rPr>
                <w:b w:val="0"/>
                <w:bCs/>
                <w:sz w:val="22"/>
                <w:lang w:val="en-US"/>
              </w:rPr>
              <w:t>12:00</w:t>
            </w:r>
          </w:p>
        </w:tc>
      </w:tr>
      <w:tr w:rsidR="00BB538D" w:rsidRPr="00BB538D" w14:paraId="4FABFB6A" w14:textId="77777777" w:rsidTr="00866AAD">
        <w:tc>
          <w:tcPr>
            <w:tcW w:w="3969" w:type="dxa"/>
            <w:shd w:val="pct10" w:color="auto" w:fill="FFFFFF"/>
          </w:tcPr>
          <w:p w14:paraId="52341077" w14:textId="14671380" w:rsidR="00DD682C" w:rsidRPr="00BB538D" w:rsidRDefault="00DD682C" w:rsidP="00DD682C">
            <w:pPr>
              <w:pStyle w:val="Table01"/>
              <w:rPr>
                <w:sz w:val="22"/>
                <w:lang w:val="en-US"/>
              </w:rPr>
            </w:pPr>
            <w:r w:rsidRPr="00BB538D">
              <w:rPr>
                <w:b w:val="0"/>
                <w:bCs/>
                <w:sz w:val="22"/>
                <w:lang w:val="en-US"/>
              </w:rPr>
              <w:t>Last date on which clarifications are issued by the Contracting Authority</w:t>
            </w:r>
          </w:p>
        </w:tc>
        <w:tc>
          <w:tcPr>
            <w:tcW w:w="2410" w:type="dxa"/>
          </w:tcPr>
          <w:p w14:paraId="32688238" w14:textId="2C9FFE4C" w:rsidR="00DD682C" w:rsidRPr="00BB538D" w:rsidRDefault="00BB538D" w:rsidP="00DD682C">
            <w:pPr>
              <w:pStyle w:val="Table01"/>
              <w:rPr>
                <w:sz w:val="22"/>
                <w:lang w:val="en-US"/>
              </w:rPr>
            </w:pPr>
            <w:r w:rsidRPr="00BB538D">
              <w:rPr>
                <w:b w:val="0"/>
                <w:bCs/>
                <w:sz w:val="22"/>
                <w:lang w:val="en-US"/>
              </w:rPr>
              <w:t>30</w:t>
            </w:r>
            <w:r w:rsidR="007533DB" w:rsidRPr="00BB538D">
              <w:rPr>
                <w:b w:val="0"/>
                <w:bCs/>
                <w:sz w:val="22"/>
                <w:lang w:val="en-US"/>
              </w:rPr>
              <w:t>.03.2020</w:t>
            </w:r>
          </w:p>
        </w:tc>
        <w:tc>
          <w:tcPr>
            <w:tcW w:w="2268" w:type="dxa"/>
          </w:tcPr>
          <w:p w14:paraId="6E5861C7" w14:textId="278465EC" w:rsidR="00DD682C" w:rsidRPr="00BB538D" w:rsidRDefault="00DD682C" w:rsidP="00DD682C">
            <w:pPr>
              <w:pStyle w:val="Table01"/>
              <w:rPr>
                <w:sz w:val="22"/>
                <w:lang w:val="en-US"/>
              </w:rPr>
            </w:pPr>
            <w:r w:rsidRPr="00BB538D">
              <w:rPr>
                <w:b w:val="0"/>
                <w:bCs/>
                <w:sz w:val="22"/>
                <w:lang w:val="en-US"/>
              </w:rPr>
              <w:t>-</w:t>
            </w:r>
          </w:p>
        </w:tc>
      </w:tr>
      <w:tr w:rsidR="00BB538D" w:rsidRPr="00BB538D" w14:paraId="1053E7B2" w14:textId="77777777" w:rsidTr="00866AAD">
        <w:tc>
          <w:tcPr>
            <w:tcW w:w="3969" w:type="dxa"/>
            <w:shd w:val="pct10" w:color="auto" w:fill="FFFFFF"/>
          </w:tcPr>
          <w:p w14:paraId="13D8EF8C" w14:textId="4349CD1A" w:rsidR="00DD682C" w:rsidRPr="00BB538D" w:rsidRDefault="00DD682C" w:rsidP="00DD682C">
            <w:pPr>
              <w:pStyle w:val="Table01"/>
              <w:rPr>
                <w:sz w:val="22"/>
                <w:lang w:val="en-US"/>
              </w:rPr>
            </w:pPr>
            <w:r w:rsidRPr="00BB538D">
              <w:rPr>
                <w:b w:val="0"/>
                <w:bCs/>
                <w:sz w:val="22"/>
                <w:lang w:val="en-US"/>
              </w:rPr>
              <w:t>Deadline for submission of tenders</w:t>
            </w:r>
          </w:p>
        </w:tc>
        <w:tc>
          <w:tcPr>
            <w:tcW w:w="2410" w:type="dxa"/>
          </w:tcPr>
          <w:p w14:paraId="046A7FC4" w14:textId="3491F64C" w:rsidR="00DD682C" w:rsidRPr="00BB538D" w:rsidRDefault="00BB538D" w:rsidP="00DD682C">
            <w:pPr>
              <w:pStyle w:val="Table01"/>
              <w:rPr>
                <w:sz w:val="22"/>
                <w:lang w:val="en-US"/>
              </w:rPr>
            </w:pPr>
            <w:r w:rsidRPr="00BB538D">
              <w:rPr>
                <w:b w:val="0"/>
                <w:bCs/>
                <w:sz w:val="22"/>
                <w:lang w:val="en-US"/>
              </w:rPr>
              <w:t>1</w:t>
            </w:r>
            <w:r w:rsidR="007533DB" w:rsidRPr="00BB538D">
              <w:rPr>
                <w:b w:val="0"/>
                <w:bCs/>
                <w:sz w:val="22"/>
                <w:lang w:val="en-US"/>
              </w:rPr>
              <w:t>0.04.2020</w:t>
            </w:r>
          </w:p>
        </w:tc>
        <w:tc>
          <w:tcPr>
            <w:tcW w:w="2268" w:type="dxa"/>
          </w:tcPr>
          <w:p w14:paraId="04B434A2" w14:textId="2490F64D" w:rsidR="00DD682C" w:rsidRPr="00BB538D" w:rsidRDefault="00DD682C" w:rsidP="00DD682C">
            <w:pPr>
              <w:pStyle w:val="Table01"/>
              <w:rPr>
                <w:sz w:val="22"/>
                <w:lang w:val="en-US"/>
              </w:rPr>
            </w:pPr>
            <w:r w:rsidRPr="00BB538D">
              <w:rPr>
                <w:b w:val="0"/>
                <w:bCs/>
                <w:sz w:val="22"/>
                <w:lang w:val="en-US"/>
              </w:rPr>
              <w:t>12:00</w:t>
            </w:r>
          </w:p>
        </w:tc>
      </w:tr>
      <w:tr w:rsidR="00BB538D" w:rsidRPr="00BB538D" w14:paraId="444F8637" w14:textId="77777777" w:rsidTr="00866AAD">
        <w:tc>
          <w:tcPr>
            <w:tcW w:w="3969" w:type="dxa"/>
            <w:shd w:val="pct10" w:color="auto" w:fill="FFFFFF"/>
          </w:tcPr>
          <w:p w14:paraId="7DEC5E05" w14:textId="518EBAC4" w:rsidR="00DD682C" w:rsidRPr="00BB538D" w:rsidRDefault="00DD682C" w:rsidP="00DD682C">
            <w:pPr>
              <w:pStyle w:val="Table01"/>
              <w:rPr>
                <w:sz w:val="22"/>
                <w:lang w:val="en-US"/>
              </w:rPr>
            </w:pPr>
            <w:r w:rsidRPr="00BB538D">
              <w:rPr>
                <w:b w:val="0"/>
                <w:bCs/>
                <w:sz w:val="22"/>
                <w:lang w:val="en-US"/>
              </w:rPr>
              <w:t>Tender opening session</w:t>
            </w:r>
          </w:p>
        </w:tc>
        <w:tc>
          <w:tcPr>
            <w:tcW w:w="2410" w:type="dxa"/>
          </w:tcPr>
          <w:p w14:paraId="6FDFD528" w14:textId="1E1E68DE" w:rsidR="00DD682C" w:rsidRPr="00BB538D" w:rsidRDefault="00BB538D" w:rsidP="00DD682C">
            <w:pPr>
              <w:pStyle w:val="Table01"/>
              <w:rPr>
                <w:sz w:val="22"/>
                <w:lang w:val="en-US"/>
              </w:rPr>
            </w:pPr>
            <w:r w:rsidRPr="00BB538D">
              <w:rPr>
                <w:b w:val="0"/>
                <w:bCs/>
                <w:sz w:val="22"/>
                <w:lang w:val="en-US"/>
              </w:rPr>
              <w:t>1</w:t>
            </w:r>
            <w:r w:rsidR="007533DB" w:rsidRPr="00BB538D">
              <w:rPr>
                <w:b w:val="0"/>
                <w:bCs/>
                <w:sz w:val="22"/>
                <w:lang w:val="en-US"/>
              </w:rPr>
              <w:t>0.04.2020</w:t>
            </w:r>
          </w:p>
        </w:tc>
        <w:tc>
          <w:tcPr>
            <w:tcW w:w="2268" w:type="dxa"/>
          </w:tcPr>
          <w:p w14:paraId="79015CBC" w14:textId="0C539834" w:rsidR="00DD682C" w:rsidRPr="00BB538D" w:rsidRDefault="00DD682C" w:rsidP="00DD682C">
            <w:pPr>
              <w:pStyle w:val="Table01"/>
              <w:rPr>
                <w:sz w:val="22"/>
                <w:lang w:val="en-US"/>
              </w:rPr>
            </w:pPr>
            <w:r w:rsidRPr="00BB538D">
              <w:rPr>
                <w:b w:val="0"/>
                <w:bCs/>
                <w:sz w:val="22"/>
                <w:lang w:val="en-US"/>
              </w:rPr>
              <w:t>14:00</w:t>
            </w:r>
          </w:p>
        </w:tc>
      </w:tr>
      <w:tr w:rsidR="00BB538D" w:rsidRPr="00BB538D" w14:paraId="6DAA595D" w14:textId="77777777" w:rsidTr="00866AAD">
        <w:tc>
          <w:tcPr>
            <w:tcW w:w="3969" w:type="dxa"/>
            <w:shd w:val="pct10" w:color="auto" w:fill="FFFFFF"/>
          </w:tcPr>
          <w:p w14:paraId="39DCD7CE" w14:textId="487CECEF" w:rsidR="00DD682C" w:rsidRPr="00BB538D" w:rsidRDefault="00DD682C" w:rsidP="00DD682C">
            <w:pPr>
              <w:pStyle w:val="Table01"/>
              <w:rPr>
                <w:sz w:val="22"/>
                <w:lang w:val="en-US"/>
              </w:rPr>
            </w:pPr>
            <w:r w:rsidRPr="00BB538D">
              <w:rPr>
                <w:b w:val="0"/>
                <w:bCs/>
                <w:sz w:val="22"/>
                <w:lang w:val="en-US"/>
              </w:rPr>
              <w:t>Notification of award to the successful tenderer</w:t>
            </w:r>
          </w:p>
        </w:tc>
        <w:tc>
          <w:tcPr>
            <w:tcW w:w="2410" w:type="dxa"/>
          </w:tcPr>
          <w:p w14:paraId="684FBBEC" w14:textId="7FF70961" w:rsidR="00DD682C" w:rsidRPr="00BB538D" w:rsidRDefault="007533DB" w:rsidP="00DD682C">
            <w:pPr>
              <w:pStyle w:val="Table01"/>
              <w:rPr>
                <w:sz w:val="22"/>
                <w:lang w:val="en-US"/>
              </w:rPr>
            </w:pPr>
            <w:r w:rsidRPr="00BB538D">
              <w:rPr>
                <w:b w:val="0"/>
                <w:bCs/>
                <w:sz w:val="22"/>
                <w:lang w:val="en-US"/>
              </w:rPr>
              <w:t>1</w:t>
            </w:r>
            <w:r w:rsidR="00BB538D" w:rsidRPr="00BB538D">
              <w:rPr>
                <w:b w:val="0"/>
                <w:bCs/>
                <w:sz w:val="22"/>
                <w:lang w:val="en-US"/>
              </w:rPr>
              <w:t>5</w:t>
            </w:r>
            <w:r w:rsidRPr="00BB538D">
              <w:rPr>
                <w:b w:val="0"/>
                <w:bCs/>
                <w:sz w:val="22"/>
                <w:lang w:val="en-US"/>
              </w:rPr>
              <w:t>.04.2020</w:t>
            </w:r>
          </w:p>
        </w:tc>
        <w:tc>
          <w:tcPr>
            <w:tcW w:w="2268" w:type="dxa"/>
          </w:tcPr>
          <w:p w14:paraId="55E92E84" w14:textId="4B098231" w:rsidR="00DD682C" w:rsidRPr="00BB538D" w:rsidRDefault="00DD682C" w:rsidP="00DD682C">
            <w:pPr>
              <w:pStyle w:val="Table01"/>
              <w:rPr>
                <w:sz w:val="22"/>
                <w:lang w:val="en-US"/>
              </w:rPr>
            </w:pPr>
            <w:r w:rsidRPr="00BB538D">
              <w:rPr>
                <w:b w:val="0"/>
                <w:bCs/>
                <w:sz w:val="22"/>
                <w:lang w:val="en-US"/>
              </w:rPr>
              <w:t>-</w:t>
            </w:r>
          </w:p>
        </w:tc>
      </w:tr>
      <w:tr w:rsidR="00BB538D" w:rsidRPr="00BB538D" w14:paraId="1210BD12" w14:textId="77777777" w:rsidTr="00866AAD">
        <w:tc>
          <w:tcPr>
            <w:tcW w:w="3969" w:type="dxa"/>
            <w:shd w:val="pct10" w:color="auto" w:fill="FFFFFF"/>
          </w:tcPr>
          <w:p w14:paraId="3B3335B4" w14:textId="60574B8C" w:rsidR="00DD682C" w:rsidRPr="00BB538D" w:rsidRDefault="00DD682C" w:rsidP="00DD682C">
            <w:pPr>
              <w:pStyle w:val="Table01"/>
              <w:rPr>
                <w:sz w:val="22"/>
                <w:lang w:val="en-US"/>
              </w:rPr>
            </w:pPr>
            <w:r w:rsidRPr="00BB538D">
              <w:rPr>
                <w:b w:val="0"/>
                <w:bCs/>
                <w:sz w:val="22"/>
                <w:lang w:val="en-US"/>
              </w:rPr>
              <w:t>Signature of the contract</w:t>
            </w:r>
          </w:p>
        </w:tc>
        <w:tc>
          <w:tcPr>
            <w:tcW w:w="2410" w:type="dxa"/>
          </w:tcPr>
          <w:p w14:paraId="36A00A0A" w14:textId="18DF3B87" w:rsidR="00DD682C" w:rsidRPr="00BB538D" w:rsidRDefault="007533DB" w:rsidP="00DD682C">
            <w:pPr>
              <w:pStyle w:val="Table01"/>
              <w:rPr>
                <w:sz w:val="22"/>
                <w:lang w:val="en-US"/>
              </w:rPr>
            </w:pPr>
            <w:r w:rsidRPr="00BB538D">
              <w:rPr>
                <w:b w:val="0"/>
                <w:bCs/>
                <w:sz w:val="22"/>
                <w:lang w:val="en-US"/>
              </w:rPr>
              <w:t>2</w:t>
            </w:r>
            <w:r w:rsidR="00BB538D" w:rsidRPr="00BB538D">
              <w:rPr>
                <w:b w:val="0"/>
                <w:bCs/>
                <w:sz w:val="22"/>
                <w:lang w:val="en-US"/>
              </w:rPr>
              <w:t>7</w:t>
            </w:r>
            <w:r w:rsidRPr="00BB538D">
              <w:rPr>
                <w:b w:val="0"/>
                <w:bCs/>
                <w:sz w:val="22"/>
                <w:lang w:val="en-US"/>
              </w:rPr>
              <w:t>.04.2020</w:t>
            </w:r>
          </w:p>
        </w:tc>
        <w:tc>
          <w:tcPr>
            <w:tcW w:w="2268" w:type="dxa"/>
          </w:tcPr>
          <w:p w14:paraId="34ADFEB2" w14:textId="40D3F6F7" w:rsidR="00DD682C" w:rsidRPr="00BB538D" w:rsidRDefault="00DD682C" w:rsidP="00DD682C">
            <w:pPr>
              <w:pStyle w:val="Table01"/>
              <w:rPr>
                <w:sz w:val="22"/>
                <w:lang w:val="en-US"/>
              </w:rPr>
            </w:pPr>
            <w:r w:rsidRPr="00BB538D">
              <w:rPr>
                <w:b w:val="0"/>
                <w:bCs/>
                <w:sz w:val="22"/>
                <w:lang w:val="en-US"/>
              </w:rPr>
              <w:t>-</w:t>
            </w:r>
          </w:p>
        </w:tc>
      </w:tr>
    </w:tbl>
    <w:p w14:paraId="27321D2E" w14:textId="226C9C6B" w:rsidR="003A72BC" w:rsidRPr="00DD682C" w:rsidRDefault="003A72BC" w:rsidP="003A72BC">
      <w:pPr>
        <w:tabs>
          <w:tab w:val="left" w:pos="851"/>
        </w:tabs>
        <w:rPr>
          <w:lang w:val="en-US"/>
        </w:rPr>
      </w:pPr>
      <w:bookmarkStart w:id="4" w:name="_Ref500317541"/>
      <w:r w:rsidRPr="00BB538D">
        <w:rPr>
          <w:rFonts w:ascii="Times New Roman" w:hAnsi="Times New Roman"/>
          <w:b/>
          <w:lang w:val="en-US"/>
        </w:rPr>
        <w:t xml:space="preserve"> * </w:t>
      </w:r>
      <w:r w:rsidRPr="00BB538D">
        <w:rPr>
          <w:lang w:val="en-US"/>
        </w:rPr>
        <w:t>All times are in the time zone of the country of the Contra</w:t>
      </w:r>
      <w:r w:rsidRPr="00DD682C">
        <w:rPr>
          <w:lang w:val="en-US"/>
        </w:rPr>
        <w:t>cting Authority Provisional date</w:t>
      </w:r>
      <w:r w:rsidR="00DD682C">
        <w:rPr>
          <w:lang w:val="en-US"/>
        </w:rPr>
        <w:t>, i.e. Romania.</w:t>
      </w:r>
    </w:p>
    <w:p w14:paraId="489625AF" w14:textId="12DDCF55" w:rsidR="003A72BC" w:rsidRPr="00DB5BAE" w:rsidRDefault="00DD682C" w:rsidP="00DD682C">
      <w:pPr>
        <w:pStyle w:val="Heading1"/>
      </w:pPr>
      <w:bookmarkStart w:id="5" w:name="_Toc42488072"/>
      <w:bookmarkEnd w:id="4"/>
      <w:r>
        <w:t xml:space="preserve">3. </w:t>
      </w:r>
      <w:r w:rsidR="003A72BC" w:rsidRPr="00DB5BAE">
        <w:t>Participation</w:t>
      </w:r>
      <w:bookmarkEnd w:id="5"/>
    </w:p>
    <w:p w14:paraId="4330785A" w14:textId="71AEBC7B" w:rsidR="003A72BC" w:rsidRPr="00BB538D" w:rsidRDefault="003A72BC" w:rsidP="00DD682C">
      <w:pPr>
        <w:rPr>
          <w:rFonts w:eastAsia="Calibri"/>
          <w:lang w:val="en-US"/>
        </w:rPr>
      </w:pPr>
      <w:r w:rsidRPr="00DD682C">
        <w:rPr>
          <w:b/>
          <w:lang w:val="en-US"/>
        </w:rPr>
        <w:t>3.1</w:t>
      </w:r>
      <w:r w:rsidR="00DD682C">
        <w:rPr>
          <w:b/>
          <w:lang w:val="en-US"/>
        </w:rPr>
        <w:t>.</w:t>
      </w:r>
      <w:r w:rsidRPr="00DB5BAE">
        <w:rPr>
          <w:lang w:val="en-US"/>
        </w:rPr>
        <w:tab/>
        <w:t xml:space="preserve">Participation is open to all </w:t>
      </w:r>
      <w:r w:rsidRPr="00DB5BAE">
        <w:rPr>
          <w:rFonts w:eastAsia="Calibri"/>
          <w:lang w:val="en-US"/>
        </w:rPr>
        <w:t xml:space="preserve">natural persons who are nationals of and </w:t>
      </w:r>
      <w:r w:rsidRPr="00DB5BAE">
        <w:rPr>
          <w:lang w:val="en-US"/>
        </w:rPr>
        <w:t xml:space="preserve">legal persons (participating either individually or in a grouping - consortium - of tenderers) which are effectively established in a  Member State of the European Union or in a eligible country or territory as defined under </w:t>
      </w:r>
      <w:r w:rsidRPr="00DB5BAE">
        <w:rPr>
          <w:rFonts w:eastAsia="Calibri"/>
          <w:bCs/>
          <w:lang w:val="en-US"/>
        </w:rPr>
        <w:t xml:space="preserve">the Regulation </w:t>
      </w:r>
      <w:r w:rsidRPr="00DB5BAE">
        <w:rPr>
          <w:lang w:val="en-US"/>
        </w:rPr>
        <w:t>(EU) N°</w:t>
      </w:r>
      <w:r w:rsidRPr="00DB5BAE">
        <w:rPr>
          <w:rFonts w:eastAsia="MS Mincho"/>
          <w:lang w:val="en-US" w:eastAsia="ja-JP"/>
        </w:rPr>
        <w:t xml:space="preserve">236/2014 </w:t>
      </w:r>
      <w:r w:rsidRPr="00DB5BAE">
        <w:rPr>
          <w:rFonts w:eastAsia="Calibri"/>
          <w:bCs/>
          <w:lang w:val="en-US"/>
        </w:rPr>
        <w:t xml:space="preserve">establishing common rules and procedures for the implementation of the Union's instruments for external action (CIR) </w:t>
      </w:r>
      <w:r w:rsidRPr="00DB5BAE">
        <w:rPr>
          <w:lang w:val="en-US"/>
        </w:rPr>
        <w:t xml:space="preserve">for the applicable Instrument under which the contract is financed (see also heading 22 of the contract notice). Participation is also open to international </w:t>
      </w:r>
      <w:r w:rsidR="00DD682C" w:rsidRPr="00DB5BAE">
        <w:rPr>
          <w:lang w:val="en-US"/>
        </w:rPr>
        <w:t>organizations</w:t>
      </w:r>
      <w:r w:rsidRPr="00DB5BAE">
        <w:rPr>
          <w:lang w:val="en-US"/>
        </w:rPr>
        <w:t xml:space="preserve">. All supplies under this contract must originate in one or more of these countries. </w:t>
      </w:r>
      <w:r w:rsidRPr="00DB5BAE">
        <w:rPr>
          <w:rFonts w:eastAsia="Calibri"/>
          <w:lang w:val="en-US"/>
        </w:rPr>
        <w:t xml:space="preserve">However, they </w:t>
      </w:r>
      <w:r w:rsidRPr="00BB538D">
        <w:rPr>
          <w:rFonts w:eastAsia="Calibri"/>
          <w:lang w:val="en-US"/>
        </w:rPr>
        <w:t>may originate from any country when</w:t>
      </w:r>
      <w:bookmarkStart w:id="6" w:name="_DV_C321"/>
      <w:r w:rsidRPr="00BB538D">
        <w:rPr>
          <w:rFonts w:eastAsia="Calibri"/>
          <w:lang w:val="en-US"/>
        </w:rPr>
        <w:t xml:space="preserve"> the amount of the supplies to be purchased (as a whole or, if divided into lots, per lot) is below</w:t>
      </w:r>
      <w:bookmarkEnd w:id="6"/>
      <w:r w:rsidRPr="00BB538D">
        <w:rPr>
          <w:rFonts w:eastAsia="Calibri"/>
          <w:lang w:val="en-US"/>
        </w:rPr>
        <w:t xml:space="preserve"> EUR 100 000.</w:t>
      </w:r>
    </w:p>
    <w:p w14:paraId="135B57A6" w14:textId="77777777" w:rsidR="005F273C" w:rsidRPr="00BB538D" w:rsidRDefault="005F273C" w:rsidP="005F273C">
      <w:pPr>
        <w:rPr>
          <w:rFonts w:eastAsia="Calibri" w:cs="Arial"/>
          <w:lang w:val="en-US"/>
        </w:rPr>
      </w:pPr>
      <w:r w:rsidRPr="00BB538D">
        <w:rPr>
          <w:lang w:val="en-US"/>
        </w:rPr>
        <w:t xml:space="preserve">According to the Instruction for the Beneficiaries of the Interreg IPA CBC Romania-Serbia, starting from 25.09.2019, all natural persons or all legal persons can participate in public procurement procedures from any country, and all goods can originate from any country, irrespective of any thresholds, in case of all actions implemented in the framework of the Interreg IPA CBC Romania-Serbia </w:t>
      </w:r>
      <w:proofErr w:type="spellStart"/>
      <w:r w:rsidRPr="00BB538D">
        <w:rPr>
          <w:lang w:val="en-US"/>
        </w:rPr>
        <w:t>Programme</w:t>
      </w:r>
      <w:proofErr w:type="spellEnd"/>
      <w:r w:rsidRPr="00BB538D">
        <w:rPr>
          <w:lang w:val="en-US"/>
        </w:rPr>
        <w:t>.</w:t>
      </w:r>
    </w:p>
    <w:p w14:paraId="3585DD01" w14:textId="4E8620C6" w:rsidR="003A72BC" w:rsidRPr="00DB5BAE" w:rsidRDefault="003A72BC" w:rsidP="00DD682C">
      <w:pPr>
        <w:rPr>
          <w:lang w:val="en-US"/>
        </w:rPr>
      </w:pPr>
      <w:r w:rsidRPr="00DD682C">
        <w:rPr>
          <w:b/>
          <w:lang w:val="en-US"/>
        </w:rPr>
        <w:lastRenderedPageBreak/>
        <w:t>3.2</w:t>
      </w:r>
      <w:r w:rsidR="00DD682C" w:rsidRPr="00DD682C">
        <w:rPr>
          <w:b/>
          <w:lang w:val="en-US"/>
        </w:rPr>
        <w:t>.</w:t>
      </w:r>
      <w:r w:rsidRPr="00DB5BAE">
        <w:rPr>
          <w:lang w:val="en-US"/>
        </w:rPr>
        <w:tab/>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14:paraId="6B7C2DB4" w14:textId="0AA430F0" w:rsidR="003A72BC" w:rsidRPr="00DB5BAE" w:rsidRDefault="003A72BC" w:rsidP="00DD682C">
      <w:pPr>
        <w:rPr>
          <w:lang w:val="en-US"/>
        </w:rPr>
      </w:pPr>
      <w:r w:rsidRPr="00DD682C">
        <w:rPr>
          <w:b/>
          <w:lang w:val="en-US"/>
        </w:rPr>
        <w:t>3.3</w:t>
      </w:r>
      <w:r w:rsidR="00DD682C" w:rsidRPr="00DD682C">
        <w:rPr>
          <w:b/>
          <w:lang w:val="en-US"/>
        </w:rPr>
        <w:t>.</w:t>
      </w:r>
      <w:r w:rsidRPr="00DB5BAE">
        <w:rPr>
          <w:lang w:val="en-US"/>
        </w:rPr>
        <w:tab/>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15F23107" w14:textId="57F614F8" w:rsidR="003A72BC" w:rsidRPr="00DB5BAE" w:rsidRDefault="003A72BC" w:rsidP="00DD682C">
      <w:pPr>
        <w:rPr>
          <w:lang w:val="en-US"/>
        </w:rPr>
      </w:pPr>
      <w:r w:rsidRPr="00DD682C">
        <w:rPr>
          <w:b/>
          <w:lang w:val="en-US"/>
        </w:rPr>
        <w:t>3.4</w:t>
      </w:r>
      <w:r w:rsidR="00DD682C" w:rsidRPr="00DD682C">
        <w:rPr>
          <w:b/>
          <w:lang w:val="en-US"/>
        </w:rPr>
        <w:t>.</w:t>
      </w:r>
      <w:r w:rsidRPr="00DB5BAE">
        <w:rPr>
          <w:lang w:val="en-US"/>
        </w:rPr>
        <w:tab/>
        <w:t xml:space="preserve">Natural or legal persons are not entitled to participate in this tender procedure or be awarded a contract if they are in any of the situations mentioned in Sections 2.3.3.1 or 2.3.3.2 of the Practical Guide. Should they do so, their tender will be considered unsuitable or irregular respectively. In the cases listed in Section 2.3.3.1 of the </w:t>
      </w:r>
      <w:r w:rsidRPr="00DB5BAE">
        <w:rPr>
          <w:b/>
          <w:lang w:val="en-US"/>
        </w:rPr>
        <w:t>Practical Guide</w:t>
      </w:r>
      <w:r w:rsidRPr="00DB5BAE">
        <w:rPr>
          <w:lang w:val="en-US"/>
        </w:rPr>
        <w:t xml:space="preserve"> tenderers may also be excluded from EU financed procedures and be subject to financial penalties representing 2</w:t>
      </w:r>
      <w:r w:rsidRPr="00DB5BAE">
        <w:rPr>
          <w:w w:val="50"/>
          <w:lang w:val="en-US"/>
        </w:rPr>
        <w:t> </w:t>
      </w:r>
      <w:r w:rsidRPr="00DB5BAE">
        <w:rPr>
          <w:lang w:val="en-US"/>
        </w:rPr>
        <w:t>% to 10</w:t>
      </w:r>
      <w:r w:rsidRPr="00DB5BAE">
        <w:rPr>
          <w:w w:val="50"/>
          <w:lang w:val="en-US"/>
        </w:rPr>
        <w:t> </w:t>
      </w:r>
      <w:r w:rsidRPr="00DB5BAE">
        <w:rPr>
          <w:lang w:val="en-US"/>
        </w:rPr>
        <w:t xml:space="preserve">% of the total value of the contract in accordance with the conditions set in Section 2.3.4 of the </w:t>
      </w:r>
      <w:r w:rsidRPr="00DB5BAE">
        <w:rPr>
          <w:b/>
          <w:lang w:val="en-US"/>
        </w:rPr>
        <w:t>Practical Guide</w:t>
      </w:r>
      <w:r w:rsidRPr="00DB5BAE">
        <w:rPr>
          <w:lang w:val="en-US"/>
        </w:rPr>
        <w:t>. This information may be published on the Commission website in accordance with the conditions set in Section 2.3.4 of the Practical Guide. Tenderers must provide declarations that they are not in any of these exclusion situations. The declarations must cover all the members of a joint venture/consortium. Tenderers who make false declarations may also incur financial penalties and exclusion in accordance with section 2.3.4 of the Practical Guide. Their tender will be considered irregular.</w:t>
      </w:r>
    </w:p>
    <w:p w14:paraId="074F9CE8" w14:textId="77777777" w:rsidR="003A72BC" w:rsidRPr="00DB5BAE" w:rsidRDefault="003A72BC" w:rsidP="00DD682C">
      <w:pPr>
        <w:rPr>
          <w:lang w:val="en-US"/>
        </w:rPr>
      </w:pPr>
      <w:r w:rsidRPr="00DB5BAE">
        <w:rPr>
          <w:lang w:val="en-US"/>
        </w:rPr>
        <w:t>The exclusion situations referred to above also apply to all members of a joint venture/consortium, all subcontractors and all suppliers to tenderers, as well as to all entities upon whose capacity the tenderer relies for the selection criteria. When requested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14:paraId="14432F13" w14:textId="168F4743" w:rsidR="003A72BC" w:rsidRPr="00DB5BAE" w:rsidRDefault="003A72BC" w:rsidP="00DD682C">
      <w:pPr>
        <w:rPr>
          <w:lang w:val="en-US"/>
        </w:rPr>
      </w:pPr>
      <w:r w:rsidRPr="00DD682C">
        <w:rPr>
          <w:b/>
          <w:lang w:val="en-US"/>
        </w:rPr>
        <w:t>3.5</w:t>
      </w:r>
      <w:r w:rsidR="00DD682C" w:rsidRPr="00DD682C">
        <w:rPr>
          <w:b/>
          <w:lang w:val="en-US"/>
        </w:rPr>
        <w:t>.</w:t>
      </w:r>
      <w:r w:rsidRPr="00DB5BAE">
        <w:rPr>
          <w:lang w:val="en-US"/>
        </w:rPr>
        <w:tab/>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7071A79E" w14:textId="11AD8EAA" w:rsidR="003A72BC" w:rsidRPr="00DB5BAE" w:rsidRDefault="003A72BC" w:rsidP="00DD682C">
      <w:pPr>
        <w:rPr>
          <w:lang w:val="en-US"/>
        </w:rPr>
      </w:pPr>
      <w:r w:rsidRPr="00DD682C">
        <w:rPr>
          <w:b/>
          <w:lang w:val="en-US"/>
        </w:rPr>
        <w:t>3.6</w:t>
      </w:r>
      <w:r w:rsidR="00DD682C" w:rsidRPr="00DD682C">
        <w:rPr>
          <w:b/>
          <w:lang w:val="en-US"/>
        </w:rPr>
        <w:t>.</w:t>
      </w:r>
      <w:r w:rsidRPr="00DB5BAE">
        <w:rPr>
          <w:lang w:val="en-US"/>
        </w:rPr>
        <w:tab/>
        <w:t>Where tenders include subcontracting, it is recommended that the contractual arrangements between tenderers and their subcontractors include mediation, according to national and international practices, as a method of dispute resolution.</w:t>
      </w:r>
    </w:p>
    <w:p w14:paraId="53384FAF" w14:textId="52F79F7F" w:rsidR="003A72BC" w:rsidRPr="00DD682C" w:rsidRDefault="00DD682C" w:rsidP="00DD682C">
      <w:pPr>
        <w:pStyle w:val="Heading1"/>
      </w:pPr>
      <w:bookmarkStart w:id="7" w:name="_Toc42488073"/>
      <w:r>
        <w:t xml:space="preserve">4. </w:t>
      </w:r>
      <w:r w:rsidR="003A72BC" w:rsidRPr="00DD682C">
        <w:t>Origin</w:t>
      </w:r>
      <w:bookmarkEnd w:id="7"/>
    </w:p>
    <w:p w14:paraId="3255CD02" w14:textId="32D59306" w:rsidR="003A72BC" w:rsidRPr="00DB5BAE" w:rsidRDefault="003A72BC" w:rsidP="00DD682C">
      <w:pPr>
        <w:rPr>
          <w:lang w:val="en-US"/>
        </w:rPr>
      </w:pPr>
      <w:r w:rsidRPr="00DD682C">
        <w:rPr>
          <w:b/>
          <w:lang w:val="en-US"/>
        </w:rPr>
        <w:t>4.1</w:t>
      </w:r>
      <w:r w:rsidR="00DD682C" w:rsidRPr="00DD682C">
        <w:rPr>
          <w:b/>
          <w:lang w:val="en-US"/>
        </w:rPr>
        <w:t>.</w:t>
      </w:r>
      <w:r w:rsidRPr="00DB5BAE">
        <w:rPr>
          <w:lang w:val="en-US"/>
        </w:rPr>
        <w:tab/>
        <w:t xml:space="preserve">Unless otherwise provided in the contract or below, all goods purchased under the contract must originate in a Member State of the European Union or in a country or territory of the regions covered and/or </w:t>
      </w:r>
      <w:r w:rsidR="00B85EE6" w:rsidRPr="00DB5BAE">
        <w:rPr>
          <w:lang w:val="en-US"/>
        </w:rPr>
        <w:t>authorized</w:t>
      </w:r>
      <w:r w:rsidRPr="00DB5BAE">
        <w:rPr>
          <w:lang w:val="en-US"/>
        </w:rPr>
        <w:t xml:space="preserve"> by the specific instruments applicable to the </w:t>
      </w:r>
      <w:proofErr w:type="spellStart"/>
      <w:r w:rsidRPr="00DB5BAE">
        <w:rPr>
          <w:lang w:val="en-US"/>
        </w:rPr>
        <w:t>programme</w:t>
      </w:r>
      <w:proofErr w:type="spellEnd"/>
      <w:r w:rsidRPr="00DB5BAE">
        <w:rPr>
          <w:lang w:val="en-US"/>
        </w:rPr>
        <w:t xml:space="preserve"> specified in clause 3.1 above. For these </w:t>
      </w:r>
      <w:r w:rsidRPr="00DB5BAE">
        <w:rPr>
          <w:lang w:val="en-US"/>
        </w:rPr>
        <w:lastRenderedPageBreak/>
        <w:t>purposes, ‘origin’ means the place where the goods are mined, grown, produced or manufactured and/or from which services are provided. The origin of the goods must be determined according to 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20A696CD" w14:textId="57819E7D" w:rsidR="003A72BC" w:rsidRPr="00DB5BAE" w:rsidRDefault="003A72BC" w:rsidP="00B85EE6">
      <w:pPr>
        <w:rPr>
          <w:rFonts w:eastAsia="Calibri"/>
          <w:lang w:val="en-US"/>
        </w:rPr>
      </w:pPr>
      <w:r w:rsidRPr="00DB5BAE">
        <w:rPr>
          <w:lang w:val="en-US"/>
        </w:rPr>
        <w:t xml:space="preserve">All supplies under this contract may </w:t>
      </w:r>
      <w:r w:rsidRPr="00DB5BAE">
        <w:rPr>
          <w:rFonts w:eastAsia="Calibri"/>
          <w:lang w:val="en-US"/>
        </w:rPr>
        <w:t>originate from any country.</w:t>
      </w:r>
    </w:p>
    <w:p w14:paraId="31F3FE7B" w14:textId="77777777" w:rsidR="003A72BC" w:rsidRPr="00DB5BAE" w:rsidRDefault="003A72BC" w:rsidP="00B85EE6">
      <w:pPr>
        <w:rPr>
          <w:lang w:val="en-US"/>
        </w:rPr>
      </w:pPr>
      <w:r w:rsidRPr="00DB5BAE">
        <w:rPr>
          <w:lang w:val="en-US"/>
        </w:rPr>
        <w:t xml:space="preserve">According to the Instruction for the Beneficiaries of the Interreg IPA CBC Romania-Serbia, starting from 25.09.2019, all natural persons or all legal persons can participate in public procurement procedures from any country, and all goods can originate from any country, irrespective of any thresholds, in case of all actions implemented in the framework of the Interreg IPA CBC Romania-Serbia </w:t>
      </w:r>
      <w:proofErr w:type="spellStart"/>
      <w:r w:rsidRPr="00DB5BAE">
        <w:rPr>
          <w:lang w:val="en-US"/>
        </w:rPr>
        <w:t>Programme</w:t>
      </w:r>
      <w:proofErr w:type="spellEnd"/>
      <w:r w:rsidRPr="00DB5BAE">
        <w:rPr>
          <w:lang w:val="en-US"/>
        </w:rPr>
        <w:t>.</w:t>
      </w:r>
    </w:p>
    <w:p w14:paraId="78767D83" w14:textId="77777777" w:rsidR="003A72BC" w:rsidRPr="00BB538D" w:rsidRDefault="003A72BC" w:rsidP="00B85EE6">
      <w:pPr>
        <w:rPr>
          <w:lang w:val="en-US"/>
        </w:rPr>
      </w:pPr>
      <w:r w:rsidRPr="00DB5BAE">
        <w:rPr>
          <w:lang w:val="en-US"/>
        </w:rPr>
        <w:t xml:space="preserve">Tenderers must provide an undertaking signed by their representative certifying compliance with this requirement. For </w:t>
      </w:r>
      <w:r w:rsidRPr="00BB538D">
        <w:rPr>
          <w:lang w:val="en-US"/>
        </w:rPr>
        <w:t>more details, see point 2.3.1 Practical Guide.</w:t>
      </w:r>
    </w:p>
    <w:p w14:paraId="74B9F9B5" w14:textId="15B43342" w:rsidR="003A72BC" w:rsidRPr="00BB538D" w:rsidRDefault="003A72BC" w:rsidP="00B85EE6">
      <w:pPr>
        <w:rPr>
          <w:lang w:val="en-US"/>
        </w:rPr>
      </w:pPr>
      <w:r w:rsidRPr="00BB538D">
        <w:rPr>
          <w:b/>
          <w:lang w:val="en-US"/>
        </w:rPr>
        <w:t>4.2</w:t>
      </w:r>
      <w:r w:rsidR="00B85EE6" w:rsidRPr="00BB538D">
        <w:rPr>
          <w:b/>
          <w:lang w:val="en-US"/>
        </w:rPr>
        <w:t>.</w:t>
      </w:r>
      <w:r w:rsidRPr="00BB538D">
        <w:rPr>
          <w:lang w:val="en-US"/>
        </w:rPr>
        <w:tab/>
      </w:r>
      <w:r w:rsidR="00205F79" w:rsidRPr="00BB538D">
        <w:rPr>
          <w:lang w:val="en-US"/>
        </w:rPr>
        <w:t>N.A.</w:t>
      </w:r>
    </w:p>
    <w:p w14:paraId="1DAD7CFB" w14:textId="737F5125" w:rsidR="003A72BC" w:rsidRPr="00F81024" w:rsidRDefault="00696173" w:rsidP="00F81024">
      <w:pPr>
        <w:pStyle w:val="Heading1"/>
      </w:pPr>
      <w:bookmarkStart w:id="8" w:name="_Toc42488074"/>
      <w:r>
        <w:t xml:space="preserve">5. </w:t>
      </w:r>
      <w:r w:rsidR="003A72BC" w:rsidRPr="00F81024">
        <w:t>Type of contract</w:t>
      </w:r>
      <w:bookmarkEnd w:id="8"/>
    </w:p>
    <w:p w14:paraId="23A07623" w14:textId="69F964B4" w:rsidR="003A72BC" w:rsidRPr="003D1C54" w:rsidRDefault="00314F5B" w:rsidP="00696173">
      <w:pPr>
        <w:rPr>
          <w:lang w:val="en-US"/>
        </w:rPr>
      </w:pPr>
      <w:r w:rsidRPr="003D1C54">
        <w:rPr>
          <w:b/>
          <w:lang w:val="en-US"/>
        </w:rPr>
        <w:t>Lump</w:t>
      </w:r>
      <w:r w:rsidR="00F81024" w:rsidRPr="003D1C54">
        <w:rPr>
          <w:lang w:val="en-US"/>
        </w:rPr>
        <w:t xml:space="preserve">, i.e. the financial offer </w:t>
      </w:r>
      <w:r w:rsidR="00696173" w:rsidRPr="003D1C54">
        <w:rPr>
          <w:lang w:val="en-US"/>
        </w:rPr>
        <w:t>must refer to the total amount of the contract</w:t>
      </w:r>
      <w:r w:rsidR="001520DE" w:rsidRPr="003D1C54">
        <w:rPr>
          <w:lang w:val="en-US"/>
        </w:rPr>
        <w:t>.</w:t>
      </w:r>
      <w:r w:rsidR="00696173" w:rsidRPr="003D1C54">
        <w:rPr>
          <w:lang w:val="en-US"/>
        </w:rPr>
        <w:t xml:space="preserve"> </w:t>
      </w:r>
    </w:p>
    <w:p w14:paraId="5DE0E518" w14:textId="7658E3D0" w:rsidR="003A72BC" w:rsidRPr="00DB5BAE" w:rsidRDefault="00696173" w:rsidP="00C96724">
      <w:pPr>
        <w:pStyle w:val="Heading1"/>
      </w:pPr>
      <w:bookmarkStart w:id="9" w:name="_Toc42488075"/>
      <w:r>
        <w:t xml:space="preserve">6. </w:t>
      </w:r>
      <w:r w:rsidR="003A72BC" w:rsidRPr="00DB5BAE">
        <w:t>Currency</w:t>
      </w:r>
      <w:bookmarkEnd w:id="9"/>
    </w:p>
    <w:p w14:paraId="17C1B565" w14:textId="54C0CFB2" w:rsidR="003A72BC" w:rsidRPr="00DB5BAE" w:rsidRDefault="003A72BC" w:rsidP="00696173">
      <w:pPr>
        <w:rPr>
          <w:lang w:val="en-US"/>
        </w:rPr>
      </w:pPr>
      <w:r w:rsidRPr="00DB5BAE">
        <w:rPr>
          <w:lang w:val="en-US"/>
        </w:rPr>
        <w:t xml:space="preserve">Tenders must be presented in </w:t>
      </w:r>
      <w:r w:rsidRPr="00DB5BAE">
        <w:rPr>
          <w:bCs/>
          <w:lang w:val="en-US"/>
        </w:rPr>
        <w:t>Euro</w:t>
      </w:r>
      <w:r w:rsidR="00696173">
        <w:rPr>
          <w:bCs/>
          <w:lang w:val="en-US"/>
        </w:rPr>
        <w:t>.</w:t>
      </w:r>
    </w:p>
    <w:p w14:paraId="7D5897D7" w14:textId="33CDC7A1" w:rsidR="003A72BC" w:rsidRDefault="00910951" w:rsidP="00C96724">
      <w:pPr>
        <w:pStyle w:val="Heading1"/>
      </w:pPr>
      <w:bookmarkStart w:id="10" w:name="_Toc42488076"/>
      <w:r>
        <w:t xml:space="preserve">7. </w:t>
      </w:r>
      <w:r w:rsidR="003A72BC" w:rsidRPr="00DB5BAE">
        <w:t>Lots</w:t>
      </w:r>
      <w:bookmarkEnd w:id="10"/>
    </w:p>
    <w:p w14:paraId="78702BB3" w14:textId="6F75D6F3" w:rsidR="005B7BC3" w:rsidRPr="005B7BC3" w:rsidRDefault="005B7BC3" w:rsidP="005B7BC3">
      <w:pPr>
        <w:rPr>
          <w:lang w:val="en-GB"/>
        </w:rPr>
      </w:pPr>
      <w:r w:rsidRPr="005B7BC3">
        <w:rPr>
          <w:lang w:val="en-GB"/>
        </w:rPr>
        <w:t>This tender procedure is not divided into lots.</w:t>
      </w:r>
    </w:p>
    <w:p w14:paraId="28E4E0F4" w14:textId="6BCDA838" w:rsidR="00910951" w:rsidRPr="00910951" w:rsidRDefault="00C12832" w:rsidP="00910951">
      <w:pPr>
        <w:rPr>
          <w:lang w:val="en-GB"/>
        </w:rPr>
      </w:pPr>
      <w:bookmarkStart w:id="11" w:name="_Toc42488077"/>
      <w:r>
        <w:rPr>
          <w:lang w:val="en-GB"/>
        </w:rPr>
        <w:t xml:space="preserve">All the goods included in the tender </w:t>
      </w:r>
      <w:proofErr w:type="gramStart"/>
      <w:r>
        <w:rPr>
          <w:lang w:val="en-GB"/>
        </w:rPr>
        <w:t>has to</w:t>
      </w:r>
      <w:proofErr w:type="gramEnd"/>
      <w:r>
        <w:rPr>
          <w:lang w:val="en-GB"/>
        </w:rPr>
        <w:t xml:space="preserve"> be considered as a single lot. </w:t>
      </w:r>
      <w:r w:rsidR="00910951" w:rsidRPr="00910951">
        <w:rPr>
          <w:lang w:val="en-GB"/>
        </w:rPr>
        <w:t>The tenderer m</w:t>
      </w:r>
      <w:r>
        <w:rPr>
          <w:lang w:val="en-GB"/>
        </w:rPr>
        <w:t>ust</w:t>
      </w:r>
      <w:r w:rsidR="00910951" w:rsidRPr="00910951">
        <w:rPr>
          <w:lang w:val="en-GB"/>
        </w:rPr>
        <w:t xml:space="preserve"> submit </w:t>
      </w:r>
      <w:r>
        <w:rPr>
          <w:lang w:val="en-GB"/>
        </w:rPr>
        <w:t>the</w:t>
      </w:r>
      <w:r w:rsidR="00910951" w:rsidRPr="00910951">
        <w:rPr>
          <w:lang w:val="en-GB"/>
        </w:rPr>
        <w:t xml:space="preserve"> tender for </w:t>
      </w:r>
      <w:r w:rsidR="00314F5B">
        <w:rPr>
          <w:lang w:val="en-GB"/>
        </w:rPr>
        <w:t xml:space="preserve">the </w:t>
      </w:r>
      <w:r>
        <w:rPr>
          <w:lang w:val="en-GB"/>
        </w:rPr>
        <w:t>entire lot, i.e. for all seven categories mentioned at point 1.1</w:t>
      </w:r>
      <w:r w:rsidR="00910951" w:rsidRPr="00910951">
        <w:rPr>
          <w:lang w:val="en-GB"/>
        </w:rPr>
        <w:t>.</w:t>
      </w:r>
      <w:r w:rsidR="00314F5B">
        <w:rPr>
          <w:lang w:val="en-GB"/>
        </w:rPr>
        <w:t xml:space="preserve">, even the financial value for each category </w:t>
      </w:r>
      <w:proofErr w:type="gramStart"/>
      <w:r w:rsidR="00314F5B">
        <w:rPr>
          <w:lang w:val="en-GB"/>
        </w:rPr>
        <w:t>has to</w:t>
      </w:r>
      <w:proofErr w:type="gramEnd"/>
      <w:r w:rsidR="00314F5B">
        <w:rPr>
          <w:lang w:val="en-GB"/>
        </w:rPr>
        <w:t xml:space="preserve"> be mentioned. The financial evaluation will take into consideration only the lump sum of the entire lot</w:t>
      </w:r>
      <w:r w:rsidR="005B7BC3">
        <w:rPr>
          <w:lang w:val="en-GB"/>
        </w:rPr>
        <w:t>.</w:t>
      </w:r>
      <w:r w:rsidR="00314F5B">
        <w:rPr>
          <w:lang w:val="en-GB"/>
        </w:rPr>
        <w:t xml:space="preserve"> </w:t>
      </w:r>
    </w:p>
    <w:p w14:paraId="16871A79" w14:textId="77777777" w:rsidR="00910951" w:rsidRDefault="00910951" w:rsidP="00910951"/>
    <w:p w14:paraId="288CB5BA" w14:textId="6A977317" w:rsidR="003A72BC" w:rsidRPr="00DB5BAE" w:rsidRDefault="00424FF3" w:rsidP="00424FF3">
      <w:pPr>
        <w:pStyle w:val="Heading1"/>
      </w:pPr>
      <w:r>
        <w:t xml:space="preserve">8. </w:t>
      </w:r>
      <w:r w:rsidR="003A72BC" w:rsidRPr="00DB5BAE">
        <w:t>Period of validity</w:t>
      </w:r>
      <w:bookmarkEnd w:id="11"/>
    </w:p>
    <w:p w14:paraId="39247923" w14:textId="51629A7A" w:rsidR="003A72BC" w:rsidRPr="00DB5BAE" w:rsidRDefault="003A72BC" w:rsidP="00424FF3">
      <w:pPr>
        <w:rPr>
          <w:lang w:val="en-US"/>
        </w:rPr>
      </w:pPr>
      <w:r w:rsidRPr="00424FF3">
        <w:rPr>
          <w:b/>
          <w:lang w:val="en-US"/>
        </w:rPr>
        <w:t>8.1</w:t>
      </w:r>
      <w:r w:rsidR="00424FF3" w:rsidRPr="00424FF3">
        <w:rPr>
          <w:b/>
          <w:lang w:val="en-US"/>
        </w:rPr>
        <w:t>.</w:t>
      </w:r>
      <w:r w:rsidRPr="00DB5BAE">
        <w:rPr>
          <w:lang w:val="en-US"/>
        </w:rPr>
        <w:tab/>
        <w:t>Tenderers will be bound by their tenders for a period of 90 days from the deadline for the submission of tenders.</w:t>
      </w:r>
    </w:p>
    <w:p w14:paraId="47480204" w14:textId="4ECD15CF" w:rsidR="003A72BC" w:rsidRPr="00DB5BAE" w:rsidRDefault="003A72BC" w:rsidP="00424FF3">
      <w:pPr>
        <w:rPr>
          <w:lang w:val="en-US"/>
        </w:rPr>
      </w:pPr>
      <w:r w:rsidRPr="00424FF3">
        <w:rPr>
          <w:b/>
          <w:lang w:val="en-US"/>
        </w:rPr>
        <w:t>8.2</w:t>
      </w:r>
      <w:r w:rsidR="00424FF3" w:rsidRPr="00424FF3">
        <w:rPr>
          <w:b/>
          <w:lang w:val="en-US"/>
        </w:rPr>
        <w:t>.</w:t>
      </w:r>
      <w:r w:rsidRPr="00DB5BAE">
        <w:rPr>
          <w:lang w:val="en-US"/>
        </w:rPr>
        <w:tab/>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w:t>
      </w:r>
      <w:r w:rsidRPr="00DB5BAE">
        <w:rPr>
          <w:lang w:val="en-US"/>
        </w:rPr>
        <w:lastRenderedPageBreak/>
        <w:t>terminated. In case the contracting authority is required to obtain the recommendation of the panel referred to in section 2.3.3.1 of the Practical Guide, the contracting authority may, before the validity period expires, request an extension of the validity of the tenders up to the adoption of that recommendation.</w:t>
      </w:r>
    </w:p>
    <w:p w14:paraId="3082262D" w14:textId="2CCA77B9" w:rsidR="003A72BC" w:rsidRPr="00DB5BAE" w:rsidRDefault="003A72BC" w:rsidP="00424FF3">
      <w:pPr>
        <w:rPr>
          <w:lang w:val="en-US"/>
        </w:rPr>
      </w:pPr>
      <w:r w:rsidRPr="00424FF3">
        <w:rPr>
          <w:b/>
          <w:lang w:val="en-US"/>
        </w:rPr>
        <w:t>8.3</w:t>
      </w:r>
      <w:r w:rsidR="00424FF3" w:rsidRPr="00424FF3">
        <w:rPr>
          <w:b/>
          <w:lang w:val="en-US"/>
        </w:rPr>
        <w:t>.</w:t>
      </w:r>
      <w:r w:rsidRPr="00DB5BAE">
        <w:rPr>
          <w:lang w:val="en-US"/>
        </w:rPr>
        <w:tab/>
        <w:t>The successful tenderer will be bound by its tender for a further period of 60 days. The further period is added to the validity period of the tender irrespective of the date of notification.</w:t>
      </w:r>
    </w:p>
    <w:p w14:paraId="0BFF5435" w14:textId="6E5FBFA8" w:rsidR="003A72BC" w:rsidRPr="00DB5BAE" w:rsidRDefault="00424FF3" w:rsidP="00424FF3">
      <w:pPr>
        <w:pStyle w:val="Heading1"/>
      </w:pPr>
      <w:bookmarkStart w:id="12" w:name="_Toc42488078"/>
      <w:bookmarkStart w:id="13" w:name="_Ref500330462"/>
      <w:r>
        <w:t xml:space="preserve">9. </w:t>
      </w:r>
      <w:r w:rsidR="003A72BC" w:rsidRPr="00DB5BAE">
        <w:t xml:space="preserve">Language of </w:t>
      </w:r>
      <w:bookmarkEnd w:id="12"/>
      <w:r w:rsidR="003A72BC" w:rsidRPr="00DB5BAE">
        <w:t>tenders</w:t>
      </w:r>
    </w:p>
    <w:bookmarkEnd w:id="13"/>
    <w:p w14:paraId="5D4E3025" w14:textId="41B33AA5" w:rsidR="003A72BC" w:rsidRPr="00DB5BAE" w:rsidRDefault="003A72BC" w:rsidP="00424FF3">
      <w:pPr>
        <w:rPr>
          <w:lang w:val="en-US"/>
        </w:rPr>
      </w:pPr>
      <w:r w:rsidRPr="00424FF3">
        <w:rPr>
          <w:b/>
          <w:lang w:val="en-US"/>
        </w:rPr>
        <w:t>9.1</w:t>
      </w:r>
      <w:r w:rsidR="00424FF3" w:rsidRPr="00424FF3">
        <w:rPr>
          <w:b/>
          <w:lang w:val="en-US"/>
        </w:rPr>
        <w:t>.</w:t>
      </w:r>
      <w:r w:rsidRPr="00DB5BAE">
        <w:rPr>
          <w:lang w:val="en-US"/>
        </w:rPr>
        <w:tab/>
        <w:t>The tenders, all correspondence and documents related to the tender exchanged by the tenderer and the Contracting Authority must be written in the language of the procedure, which is English.</w:t>
      </w:r>
    </w:p>
    <w:p w14:paraId="1B99F2CE" w14:textId="77777777" w:rsidR="003A72BC" w:rsidRPr="00DB5BAE" w:rsidRDefault="003A72BC" w:rsidP="00424FF3">
      <w:pPr>
        <w:rPr>
          <w:lang w:val="en-US"/>
        </w:rPr>
      </w:pPr>
      <w:r w:rsidRPr="00DB5BAE">
        <w:rPr>
          <w:lang w:val="en-US"/>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p>
    <w:p w14:paraId="7C0489DF" w14:textId="6A6F273B" w:rsidR="003A72BC" w:rsidRPr="00DB5BAE" w:rsidRDefault="002958AB" w:rsidP="002958AB">
      <w:pPr>
        <w:pStyle w:val="Heading1"/>
      </w:pPr>
      <w:bookmarkStart w:id="14" w:name="_Toc42488079"/>
      <w:r>
        <w:t xml:space="preserve">10. </w:t>
      </w:r>
      <w:r w:rsidR="003A72BC" w:rsidRPr="00DB5BAE">
        <w:t>Submission of tenders</w:t>
      </w:r>
      <w:bookmarkEnd w:id="14"/>
    </w:p>
    <w:p w14:paraId="552A2353" w14:textId="01FE99B7" w:rsidR="003A72BC" w:rsidRPr="00DB5BAE" w:rsidRDefault="003A72BC" w:rsidP="002958AB">
      <w:pPr>
        <w:rPr>
          <w:lang w:val="en-US"/>
        </w:rPr>
      </w:pPr>
      <w:bookmarkStart w:id="15" w:name="_Ref500326737"/>
      <w:r w:rsidRPr="002958AB">
        <w:rPr>
          <w:b/>
          <w:lang w:val="en-US"/>
        </w:rPr>
        <w:t>10.1</w:t>
      </w:r>
      <w:r w:rsidR="002958AB" w:rsidRPr="002958AB">
        <w:rPr>
          <w:b/>
          <w:lang w:val="en-US"/>
        </w:rPr>
        <w:t>.</w:t>
      </w:r>
      <w:r w:rsidRPr="00DB5BAE">
        <w:rPr>
          <w:lang w:val="en-US"/>
        </w:rPr>
        <w:tab/>
        <w:t>The Contracting Authority must receive the tenders before the deadline specified in 10.3. They must include all the documents specified in point 11 of these Instructions and be sent to the following address:</w:t>
      </w:r>
    </w:p>
    <w:bookmarkEnd w:id="15"/>
    <w:p w14:paraId="376D509F" w14:textId="79933224" w:rsidR="002958AB" w:rsidRPr="002958AB" w:rsidRDefault="002958AB" w:rsidP="002958AB">
      <w:pPr>
        <w:rPr>
          <w:b/>
          <w:lang w:val="en-US"/>
        </w:rPr>
      </w:pPr>
      <w:r w:rsidRPr="002958AB">
        <w:rPr>
          <w:b/>
          <w:lang w:val="en-US"/>
        </w:rPr>
        <w:t>West University of Timisoara (</w:t>
      </w:r>
      <w:r w:rsidRPr="002958AB">
        <w:rPr>
          <w:b/>
        </w:rPr>
        <w:t>Universitatea de Vest din Timișoara</w:t>
      </w:r>
      <w:r w:rsidRPr="002958AB">
        <w:rPr>
          <w:b/>
          <w:lang w:val="en-US"/>
        </w:rPr>
        <w:t xml:space="preserve">), </w:t>
      </w:r>
      <w:proofErr w:type="spellStart"/>
      <w:r w:rsidRPr="002958AB">
        <w:rPr>
          <w:b/>
          <w:lang w:val="en-US"/>
        </w:rPr>
        <w:t>Blv</w:t>
      </w:r>
      <w:proofErr w:type="spellEnd"/>
      <w:r w:rsidRPr="002958AB">
        <w:rPr>
          <w:b/>
          <w:lang w:val="en-US"/>
        </w:rPr>
        <w:t xml:space="preserve">. V. </w:t>
      </w:r>
      <w:proofErr w:type="spellStart"/>
      <w:r w:rsidRPr="002958AB">
        <w:rPr>
          <w:b/>
          <w:lang w:val="en-US"/>
        </w:rPr>
        <w:t>Pârvan</w:t>
      </w:r>
      <w:proofErr w:type="spellEnd"/>
      <w:r w:rsidRPr="002958AB">
        <w:rPr>
          <w:b/>
          <w:lang w:val="en-US"/>
        </w:rPr>
        <w:t xml:space="preserve"> 4, 300223, </w:t>
      </w:r>
      <w:proofErr w:type="spellStart"/>
      <w:r w:rsidRPr="002958AB">
        <w:rPr>
          <w:b/>
          <w:lang w:val="en-US"/>
        </w:rPr>
        <w:t>Timișoara</w:t>
      </w:r>
      <w:proofErr w:type="spellEnd"/>
      <w:r w:rsidRPr="002958AB">
        <w:rPr>
          <w:b/>
          <w:lang w:val="en-US"/>
        </w:rPr>
        <w:t>, ROMÂNIA</w:t>
      </w:r>
    </w:p>
    <w:p w14:paraId="4E49BDBC" w14:textId="3710E440" w:rsidR="003A72BC" w:rsidRPr="00DB5BAE" w:rsidRDefault="003A72BC" w:rsidP="002958AB">
      <w:pPr>
        <w:rPr>
          <w:lang w:val="en-US"/>
        </w:rPr>
      </w:pPr>
      <w:r w:rsidRPr="00DB5BAE">
        <w:rPr>
          <w:lang w:val="en-US"/>
        </w:rPr>
        <w:t xml:space="preserve">Delivery: </w:t>
      </w:r>
      <w:r w:rsidR="00ED6FDB">
        <w:rPr>
          <w:lang w:val="en-US"/>
        </w:rPr>
        <w:t>8</w:t>
      </w:r>
      <w:r w:rsidRPr="00DB5BAE">
        <w:rPr>
          <w:lang w:val="en-US"/>
        </w:rPr>
        <w:t>.00-1</w:t>
      </w:r>
      <w:r w:rsidR="00ED6FDB">
        <w:rPr>
          <w:lang w:val="en-US"/>
        </w:rPr>
        <w:t>6</w:t>
      </w:r>
      <w:r w:rsidRPr="00DB5BAE">
        <w:rPr>
          <w:lang w:val="en-US"/>
        </w:rPr>
        <w:t xml:space="preserve">.00 </w:t>
      </w:r>
      <w:proofErr w:type="spellStart"/>
      <w:r w:rsidRPr="00DB5BAE">
        <w:rPr>
          <w:lang w:val="en-US"/>
        </w:rPr>
        <w:t>hrs</w:t>
      </w:r>
      <w:proofErr w:type="spellEnd"/>
      <w:r w:rsidRPr="00DB5BAE">
        <w:rPr>
          <w:lang w:val="en-US"/>
        </w:rPr>
        <w:t>- Local Time</w:t>
      </w:r>
    </w:p>
    <w:p w14:paraId="7E00ABB0" w14:textId="77777777" w:rsidR="003A72BC" w:rsidRPr="00DB5BAE" w:rsidRDefault="003A72BC" w:rsidP="002958AB">
      <w:pPr>
        <w:rPr>
          <w:lang w:val="en-US"/>
        </w:rPr>
      </w:pPr>
      <w:r w:rsidRPr="00DB5BAE">
        <w:rPr>
          <w:lang w:val="en-US"/>
        </w:rPr>
        <w:t xml:space="preserve">If the tenders are hand </w:t>
      </w:r>
      <w:proofErr w:type="gramStart"/>
      <w:r w:rsidRPr="00DB5BAE">
        <w:rPr>
          <w:lang w:val="en-US"/>
        </w:rPr>
        <w:t>delivered</w:t>
      </w:r>
      <w:proofErr w:type="gramEnd"/>
      <w:r w:rsidRPr="00DB5BAE">
        <w:rPr>
          <w:lang w:val="en-US"/>
        </w:rPr>
        <w:t xml:space="preserve"> they should be delivered to the following address:</w:t>
      </w:r>
    </w:p>
    <w:p w14:paraId="16F934AB" w14:textId="77777777" w:rsidR="002958AB" w:rsidRPr="002958AB" w:rsidRDefault="002958AB" w:rsidP="002958AB">
      <w:pPr>
        <w:rPr>
          <w:b/>
          <w:lang w:val="en-US"/>
        </w:rPr>
      </w:pPr>
      <w:r w:rsidRPr="002958AB">
        <w:rPr>
          <w:b/>
          <w:lang w:val="en-US"/>
        </w:rPr>
        <w:t>West University of Timisoara (</w:t>
      </w:r>
      <w:r w:rsidRPr="002958AB">
        <w:rPr>
          <w:b/>
        </w:rPr>
        <w:t>Universitatea de Vest din Timișoara</w:t>
      </w:r>
      <w:r w:rsidRPr="002958AB">
        <w:rPr>
          <w:b/>
          <w:lang w:val="en-US"/>
        </w:rPr>
        <w:t xml:space="preserve">), </w:t>
      </w:r>
      <w:proofErr w:type="spellStart"/>
      <w:r w:rsidRPr="002958AB">
        <w:rPr>
          <w:b/>
          <w:lang w:val="en-US"/>
        </w:rPr>
        <w:t>Blv</w:t>
      </w:r>
      <w:proofErr w:type="spellEnd"/>
      <w:r w:rsidRPr="002958AB">
        <w:rPr>
          <w:b/>
          <w:lang w:val="en-US"/>
        </w:rPr>
        <w:t xml:space="preserve">. V. </w:t>
      </w:r>
      <w:proofErr w:type="spellStart"/>
      <w:r w:rsidRPr="002958AB">
        <w:rPr>
          <w:b/>
          <w:lang w:val="en-US"/>
        </w:rPr>
        <w:t>Pârvan</w:t>
      </w:r>
      <w:proofErr w:type="spellEnd"/>
      <w:r w:rsidRPr="002958AB">
        <w:rPr>
          <w:b/>
          <w:lang w:val="en-US"/>
        </w:rPr>
        <w:t xml:space="preserve"> 4, 300223, </w:t>
      </w:r>
      <w:proofErr w:type="spellStart"/>
      <w:r w:rsidRPr="002958AB">
        <w:rPr>
          <w:b/>
          <w:lang w:val="en-US"/>
        </w:rPr>
        <w:t>Timișoara</w:t>
      </w:r>
      <w:proofErr w:type="spellEnd"/>
      <w:r w:rsidRPr="002958AB">
        <w:rPr>
          <w:b/>
          <w:lang w:val="en-US"/>
        </w:rPr>
        <w:t>, ROMÂNIA</w:t>
      </w:r>
    </w:p>
    <w:p w14:paraId="4F20DF62" w14:textId="5C0873EC" w:rsidR="003A72BC" w:rsidRPr="00DB5BAE" w:rsidRDefault="003A72BC" w:rsidP="002958AB">
      <w:pPr>
        <w:rPr>
          <w:lang w:val="en-US"/>
        </w:rPr>
      </w:pPr>
      <w:r w:rsidRPr="00DB5BAE">
        <w:rPr>
          <w:lang w:val="en-US"/>
        </w:rPr>
        <w:t xml:space="preserve">Delivery: </w:t>
      </w:r>
      <w:r w:rsidR="00ED6FDB">
        <w:rPr>
          <w:lang w:val="en-US"/>
        </w:rPr>
        <w:t>8</w:t>
      </w:r>
      <w:r w:rsidRPr="00DB5BAE">
        <w:rPr>
          <w:lang w:val="en-US"/>
        </w:rPr>
        <w:t>.00-1</w:t>
      </w:r>
      <w:r w:rsidR="00ED6FDB">
        <w:rPr>
          <w:lang w:val="en-US"/>
        </w:rPr>
        <w:t>6</w:t>
      </w:r>
      <w:r w:rsidRPr="00DB5BAE">
        <w:rPr>
          <w:lang w:val="en-US"/>
        </w:rPr>
        <w:t xml:space="preserve">.00 </w:t>
      </w:r>
      <w:proofErr w:type="spellStart"/>
      <w:r w:rsidRPr="00DB5BAE">
        <w:rPr>
          <w:lang w:val="en-US"/>
        </w:rPr>
        <w:t>hrs</w:t>
      </w:r>
      <w:proofErr w:type="spellEnd"/>
      <w:r w:rsidRPr="00DB5BAE">
        <w:rPr>
          <w:lang w:val="en-US"/>
        </w:rPr>
        <w:t>- Local Time</w:t>
      </w:r>
    </w:p>
    <w:p w14:paraId="3B269608" w14:textId="77777777" w:rsidR="003A72BC" w:rsidRPr="00DB5BAE" w:rsidRDefault="003A72BC" w:rsidP="002958AB">
      <w:pPr>
        <w:rPr>
          <w:lang w:val="en-US"/>
        </w:rPr>
      </w:pPr>
      <w:r w:rsidRPr="00DB5BAE">
        <w:rPr>
          <w:lang w:val="en-US"/>
        </w:rPr>
        <w:t>Tenders must comply with the following conditions:</w:t>
      </w:r>
    </w:p>
    <w:p w14:paraId="52568C2B" w14:textId="71664C33" w:rsidR="003A72BC" w:rsidRPr="00DB5BAE" w:rsidRDefault="003A72BC" w:rsidP="002958AB">
      <w:pPr>
        <w:rPr>
          <w:lang w:val="en-US"/>
        </w:rPr>
      </w:pPr>
      <w:bookmarkStart w:id="16" w:name="_Ref500330141"/>
      <w:r w:rsidRPr="002958AB">
        <w:rPr>
          <w:b/>
          <w:lang w:val="en-US"/>
        </w:rPr>
        <w:t>10.2</w:t>
      </w:r>
      <w:r w:rsidR="002958AB" w:rsidRPr="002958AB">
        <w:rPr>
          <w:b/>
          <w:lang w:val="en-US"/>
        </w:rPr>
        <w:t>.</w:t>
      </w:r>
      <w:r w:rsidRPr="00DB5BAE">
        <w:rPr>
          <w:lang w:val="en-US"/>
        </w:rPr>
        <w:tab/>
        <w:t>All tenders must be submitted in one original, marked ‘</w:t>
      </w:r>
      <w:r w:rsidRPr="002958AB">
        <w:rPr>
          <w:b/>
          <w:lang w:val="en-US"/>
        </w:rPr>
        <w:t>original</w:t>
      </w:r>
      <w:r w:rsidRPr="00DB5BAE">
        <w:rPr>
          <w:lang w:val="en-US"/>
        </w:rPr>
        <w:t xml:space="preserve">’, </w:t>
      </w:r>
      <w:r w:rsidRPr="00ED6FDB">
        <w:rPr>
          <w:lang w:val="en-US"/>
        </w:rPr>
        <w:t xml:space="preserve">and 2 copy signed </w:t>
      </w:r>
      <w:r w:rsidRPr="00DB5BAE">
        <w:rPr>
          <w:lang w:val="en-US"/>
        </w:rPr>
        <w:t>in the same way as the original and marked ‘</w:t>
      </w:r>
      <w:r w:rsidRPr="002958AB">
        <w:rPr>
          <w:b/>
          <w:lang w:val="en-US"/>
        </w:rPr>
        <w:t>copy</w:t>
      </w:r>
      <w:r w:rsidRPr="00DB5BAE">
        <w:rPr>
          <w:lang w:val="en-US"/>
        </w:rPr>
        <w:t>’.</w:t>
      </w:r>
    </w:p>
    <w:bookmarkEnd w:id="16"/>
    <w:p w14:paraId="5D4C309A" w14:textId="0F7698D7" w:rsidR="003A72BC" w:rsidRPr="00DB5BAE" w:rsidRDefault="003A72BC" w:rsidP="002958AB">
      <w:pPr>
        <w:rPr>
          <w:lang w:val="en-US"/>
        </w:rPr>
      </w:pPr>
      <w:r w:rsidRPr="00DB5BAE">
        <w:rPr>
          <w:lang w:val="en-US"/>
        </w:rPr>
        <w:t xml:space="preserve">All tenders must be received at </w:t>
      </w:r>
      <w:r w:rsidR="001D46C8" w:rsidRPr="002958AB">
        <w:rPr>
          <w:b/>
          <w:lang w:val="en-US"/>
        </w:rPr>
        <w:t>West University of Timisoara (</w:t>
      </w:r>
      <w:r w:rsidR="001D46C8" w:rsidRPr="002958AB">
        <w:rPr>
          <w:b/>
        </w:rPr>
        <w:t>Universitatea de Vest din Timișoara</w:t>
      </w:r>
      <w:r w:rsidR="001D46C8" w:rsidRPr="002958AB">
        <w:rPr>
          <w:b/>
          <w:lang w:val="en-US"/>
        </w:rPr>
        <w:t xml:space="preserve">), </w:t>
      </w:r>
      <w:proofErr w:type="spellStart"/>
      <w:r w:rsidR="001D46C8" w:rsidRPr="002958AB">
        <w:rPr>
          <w:b/>
          <w:lang w:val="en-US"/>
        </w:rPr>
        <w:t>Blv</w:t>
      </w:r>
      <w:proofErr w:type="spellEnd"/>
      <w:r w:rsidR="001D46C8" w:rsidRPr="002958AB">
        <w:rPr>
          <w:b/>
          <w:lang w:val="en-US"/>
        </w:rPr>
        <w:t xml:space="preserve">. V. </w:t>
      </w:r>
      <w:proofErr w:type="spellStart"/>
      <w:r w:rsidR="001D46C8" w:rsidRPr="002958AB">
        <w:rPr>
          <w:b/>
          <w:lang w:val="en-US"/>
        </w:rPr>
        <w:t>Pârvan</w:t>
      </w:r>
      <w:proofErr w:type="spellEnd"/>
      <w:r w:rsidR="001D46C8" w:rsidRPr="002958AB">
        <w:rPr>
          <w:b/>
          <w:lang w:val="en-US"/>
        </w:rPr>
        <w:t xml:space="preserve"> 4, 300223, </w:t>
      </w:r>
      <w:proofErr w:type="spellStart"/>
      <w:r w:rsidR="001D46C8" w:rsidRPr="002958AB">
        <w:rPr>
          <w:b/>
          <w:lang w:val="en-US"/>
        </w:rPr>
        <w:t>Timișoara</w:t>
      </w:r>
      <w:proofErr w:type="spellEnd"/>
      <w:r w:rsidR="001D46C8" w:rsidRPr="002958AB">
        <w:rPr>
          <w:b/>
          <w:lang w:val="en-US"/>
        </w:rPr>
        <w:t>, ROMÂNIA</w:t>
      </w:r>
      <w:r w:rsidRPr="00DB5BAE">
        <w:rPr>
          <w:lang w:val="en-US"/>
        </w:rPr>
        <w:t xml:space="preserve">, before the </w:t>
      </w:r>
      <w:r w:rsidRPr="00BB538D">
        <w:rPr>
          <w:lang w:val="en-US"/>
        </w:rPr>
        <w:t xml:space="preserve">deadline </w:t>
      </w:r>
      <w:r w:rsidR="00BB538D" w:rsidRPr="00BB538D">
        <w:rPr>
          <w:lang w:val="en-US"/>
        </w:rPr>
        <w:t>10</w:t>
      </w:r>
      <w:r w:rsidR="00ED6FDB" w:rsidRPr="00BB538D">
        <w:rPr>
          <w:lang w:val="en-US"/>
        </w:rPr>
        <w:t>.04.2020</w:t>
      </w:r>
      <w:r w:rsidRPr="00BB538D">
        <w:rPr>
          <w:lang w:val="en-US"/>
        </w:rPr>
        <w:t xml:space="preserve">, local </w:t>
      </w:r>
      <w:r w:rsidRPr="00DB5BAE">
        <w:rPr>
          <w:lang w:val="en-US"/>
        </w:rPr>
        <w:t>time 12:00, by registered letter with acknowledgement of receipt or hand-delivered against receipt signed by project manager or its representative.</w:t>
      </w:r>
    </w:p>
    <w:p w14:paraId="4EF15BC3" w14:textId="77777777" w:rsidR="003A72BC" w:rsidRPr="00DB5BAE" w:rsidRDefault="003A72BC" w:rsidP="00104305">
      <w:pPr>
        <w:rPr>
          <w:lang w:val="en-US"/>
        </w:rPr>
      </w:pPr>
      <w:r w:rsidRPr="00DB5BAE">
        <w:rPr>
          <w:lang w:val="en-US"/>
        </w:rPr>
        <w:t>10.4</w:t>
      </w:r>
      <w:r w:rsidRPr="00DB5BAE">
        <w:rPr>
          <w:lang w:val="en-US"/>
        </w:rPr>
        <w:tab/>
        <w:t>All tenders, including annexes and all supporting documents, must be submitted in a sealed envelope bearing only:</w:t>
      </w:r>
    </w:p>
    <w:p w14:paraId="1C5A1D30" w14:textId="5313BCB5" w:rsidR="003A72BC" w:rsidRPr="00104305" w:rsidRDefault="003A72BC" w:rsidP="00104305">
      <w:pPr>
        <w:pStyle w:val="ListParagraph"/>
        <w:numPr>
          <w:ilvl w:val="0"/>
          <w:numId w:val="31"/>
        </w:numPr>
        <w:rPr>
          <w:lang w:val="en-US"/>
        </w:rPr>
      </w:pPr>
      <w:r w:rsidRPr="00104305">
        <w:rPr>
          <w:lang w:val="en-US"/>
        </w:rPr>
        <w:lastRenderedPageBreak/>
        <w:t>the above address;</w:t>
      </w:r>
    </w:p>
    <w:p w14:paraId="481E69A4" w14:textId="69C15AE3" w:rsidR="003A72BC" w:rsidRPr="00104305" w:rsidRDefault="003A72BC" w:rsidP="00104305">
      <w:pPr>
        <w:pStyle w:val="ListParagraph"/>
        <w:numPr>
          <w:ilvl w:val="0"/>
          <w:numId w:val="31"/>
        </w:numPr>
        <w:rPr>
          <w:rFonts w:ascii="Arial Narrow" w:hAnsi="Arial Narrow"/>
        </w:rPr>
      </w:pPr>
      <w:r w:rsidRPr="00104305">
        <w:rPr>
          <w:lang w:val="en-US"/>
        </w:rPr>
        <w:t>the reference code of this tender procedure, (i.e</w:t>
      </w:r>
      <w:r w:rsidRPr="0077371F">
        <w:rPr>
          <w:lang w:val="en-US"/>
        </w:rPr>
        <w:t>.</w:t>
      </w:r>
      <w:r w:rsidR="00104305" w:rsidRPr="0077371F">
        <w:rPr>
          <w:rFonts w:ascii="Arial Narrow" w:hAnsi="Arial Narrow"/>
          <w:b/>
          <w:bCs/>
        </w:rPr>
        <w:t xml:space="preserve"> RORS-337</w:t>
      </w:r>
      <w:r w:rsidR="00104305" w:rsidRPr="0077371F">
        <w:rPr>
          <w:rFonts w:ascii="Arial Narrow" w:hAnsi="Arial Narrow"/>
          <w:b/>
          <w:bCs/>
          <w:lang w:val="en-US"/>
        </w:rPr>
        <w:t xml:space="preserve"> / WUT-07</w:t>
      </w:r>
      <w:r w:rsidRPr="0077371F">
        <w:rPr>
          <w:lang w:val="en-US"/>
        </w:rPr>
        <w:t>);</w:t>
      </w:r>
    </w:p>
    <w:p w14:paraId="51C7A30D" w14:textId="151668B1" w:rsidR="003A72BC" w:rsidRPr="00104305" w:rsidRDefault="00104305" w:rsidP="00104305">
      <w:pPr>
        <w:pStyle w:val="ListParagraph"/>
        <w:numPr>
          <w:ilvl w:val="0"/>
          <w:numId w:val="31"/>
        </w:numPr>
        <w:rPr>
          <w:lang w:val="en-US"/>
        </w:rPr>
      </w:pPr>
      <w:r w:rsidRPr="00104305">
        <w:rPr>
          <w:lang w:val="en-US"/>
        </w:rPr>
        <w:t>w</w:t>
      </w:r>
      <w:r w:rsidR="003A72BC" w:rsidRPr="00104305">
        <w:rPr>
          <w:lang w:val="en-US"/>
        </w:rPr>
        <w:t>here applicable, the number of the lot(s) tendered for;</w:t>
      </w:r>
    </w:p>
    <w:p w14:paraId="72C707D4" w14:textId="3EE7D56E" w:rsidR="003A72BC" w:rsidRPr="00104305" w:rsidRDefault="00104305" w:rsidP="00104305">
      <w:pPr>
        <w:pStyle w:val="ListParagraph"/>
        <w:numPr>
          <w:ilvl w:val="0"/>
          <w:numId w:val="31"/>
        </w:numPr>
        <w:rPr>
          <w:lang w:val="en-US"/>
        </w:rPr>
      </w:pPr>
      <w:r w:rsidRPr="00104305">
        <w:rPr>
          <w:lang w:val="en-US"/>
        </w:rPr>
        <w:t>t</w:t>
      </w:r>
      <w:r w:rsidR="003A72BC" w:rsidRPr="00104305">
        <w:rPr>
          <w:lang w:val="en-US"/>
        </w:rPr>
        <w:t xml:space="preserve">he words </w:t>
      </w:r>
      <w:r w:rsidR="003A72BC" w:rsidRPr="00104305">
        <w:rPr>
          <w:b/>
          <w:lang w:val="en-US"/>
        </w:rPr>
        <w:t>‘Not to be opened before the tender opening session’</w:t>
      </w:r>
      <w:r w:rsidR="003A72BC" w:rsidRPr="00104305">
        <w:rPr>
          <w:lang w:val="en-US"/>
        </w:rPr>
        <w:t xml:space="preserve"> in the language of the tender dossier and “</w:t>
      </w:r>
      <w:r w:rsidRPr="00B5474F">
        <w:rPr>
          <w:b/>
        </w:rPr>
        <w:t>A nu se deschide înainte de sesiunea de deschidere</w:t>
      </w:r>
      <w:r w:rsidR="003A72BC" w:rsidRPr="00104305">
        <w:rPr>
          <w:lang w:val="en-US"/>
        </w:rPr>
        <w:t>”.</w:t>
      </w:r>
    </w:p>
    <w:p w14:paraId="5884559D" w14:textId="68D5D0A5" w:rsidR="003A72BC" w:rsidRPr="00104305" w:rsidRDefault="003A72BC" w:rsidP="00104305">
      <w:pPr>
        <w:pStyle w:val="ListParagraph"/>
        <w:numPr>
          <w:ilvl w:val="0"/>
          <w:numId w:val="31"/>
        </w:numPr>
        <w:rPr>
          <w:lang w:val="en-US"/>
        </w:rPr>
      </w:pPr>
      <w:r w:rsidRPr="00104305">
        <w:rPr>
          <w:lang w:val="en-US"/>
        </w:rPr>
        <w:t>the name of the tenderer.</w:t>
      </w:r>
    </w:p>
    <w:p w14:paraId="67D53CC7" w14:textId="77777777" w:rsidR="003A72BC" w:rsidRPr="00DB5BAE" w:rsidRDefault="003A72BC" w:rsidP="002958AB">
      <w:pPr>
        <w:rPr>
          <w:lang w:val="en-US"/>
        </w:rPr>
      </w:pPr>
      <w:r w:rsidRPr="00DB5BAE">
        <w:rPr>
          <w:lang w:val="en-US"/>
        </w:rPr>
        <w:t>The technical and financial offers must be placed together in a sealed envelope. The envelope should then be placed in another single sealed envelope/package, unless their volume requires a separate submission for each lot.</w:t>
      </w:r>
    </w:p>
    <w:p w14:paraId="7A8988D6" w14:textId="0AFADFB4" w:rsidR="003A72BC" w:rsidRPr="00DB5BAE" w:rsidRDefault="009D40F4" w:rsidP="009D40F4">
      <w:pPr>
        <w:pStyle w:val="Heading1"/>
      </w:pPr>
      <w:bookmarkStart w:id="17" w:name="_Toc42488080"/>
      <w:r>
        <w:t xml:space="preserve">11. </w:t>
      </w:r>
      <w:r w:rsidR="003A72BC" w:rsidRPr="00DB5BAE">
        <w:t>Content of tenders</w:t>
      </w:r>
      <w:bookmarkEnd w:id="17"/>
    </w:p>
    <w:p w14:paraId="09538530" w14:textId="77777777" w:rsidR="003A72BC" w:rsidRPr="00DB5BAE" w:rsidRDefault="003A72BC" w:rsidP="009D40F4">
      <w:pPr>
        <w:rPr>
          <w:lang w:val="en-US"/>
        </w:rPr>
      </w:pPr>
      <w:r w:rsidRPr="00DB5BAE">
        <w:rPr>
          <w:lang w:val="en-US"/>
        </w:rPr>
        <w:t>Failure to fulfil the below requirements will constitute an irregularity and may result in rejection of the tender. All tenders submitted must comply with the requirements in the tender dossier and comprise:</w:t>
      </w:r>
    </w:p>
    <w:p w14:paraId="64293743" w14:textId="77777777" w:rsidR="003A72BC" w:rsidRPr="00DB5BAE" w:rsidRDefault="003A72BC" w:rsidP="009D40F4">
      <w:pPr>
        <w:rPr>
          <w:b/>
          <w:lang w:val="en-US"/>
        </w:rPr>
      </w:pPr>
      <w:r w:rsidRPr="00DB5BAE">
        <w:rPr>
          <w:b/>
          <w:lang w:val="en-US"/>
        </w:rPr>
        <w:t>Part 1: Technical offer:</w:t>
      </w:r>
    </w:p>
    <w:p w14:paraId="1C39E15B" w14:textId="285EA957" w:rsidR="003A72BC" w:rsidRDefault="009D40F4" w:rsidP="009D40F4">
      <w:pPr>
        <w:pStyle w:val="ListParagraph"/>
        <w:numPr>
          <w:ilvl w:val="0"/>
          <w:numId w:val="32"/>
        </w:numPr>
        <w:rPr>
          <w:lang w:val="en-US"/>
        </w:rPr>
      </w:pPr>
      <w:r>
        <w:rPr>
          <w:lang w:val="en-US"/>
        </w:rPr>
        <w:t>A</w:t>
      </w:r>
      <w:r w:rsidR="003A72BC" w:rsidRPr="009D40F4">
        <w:rPr>
          <w:lang w:val="en-US"/>
        </w:rPr>
        <w:t xml:space="preserve"> detailed description of the supplies tendered in conformity with the technical specifications, including any documentation required.</w:t>
      </w:r>
    </w:p>
    <w:p w14:paraId="52932B12" w14:textId="04C1E66C" w:rsidR="009D40F4" w:rsidRDefault="009D40F4" w:rsidP="009D40F4">
      <w:pPr>
        <w:pStyle w:val="ListParagraph"/>
        <w:numPr>
          <w:ilvl w:val="1"/>
          <w:numId w:val="32"/>
        </w:numPr>
        <w:rPr>
          <w:lang w:val="en-US"/>
        </w:rPr>
      </w:pPr>
      <w:r>
        <w:rPr>
          <w:lang w:val="en-US"/>
        </w:rPr>
        <w:t>If appropriate, the tender can include a list of the spare parts and consumables recommended by the manufacturer;</w:t>
      </w:r>
    </w:p>
    <w:p w14:paraId="5330733E" w14:textId="59F8EA01" w:rsidR="009D40F4" w:rsidRDefault="009D40F4" w:rsidP="009D40F4">
      <w:pPr>
        <w:pStyle w:val="ListParagraph"/>
        <w:numPr>
          <w:ilvl w:val="1"/>
          <w:numId w:val="32"/>
        </w:numPr>
        <w:rPr>
          <w:lang w:val="en-US"/>
        </w:rPr>
      </w:pPr>
      <w:r>
        <w:rPr>
          <w:lang w:val="en-US"/>
        </w:rPr>
        <w:t>If appropriate, the tender can include proposals for after-sales services over the minimum 3 years of guarantee;</w:t>
      </w:r>
    </w:p>
    <w:p w14:paraId="57A79246" w14:textId="6966A2EC" w:rsidR="009D40F4" w:rsidRDefault="009D40F4" w:rsidP="009D40F4">
      <w:pPr>
        <w:pStyle w:val="ListParagraph"/>
        <w:numPr>
          <w:ilvl w:val="1"/>
          <w:numId w:val="32"/>
        </w:numPr>
        <w:rPr>
          <w:lang w:val="en-US"/>
        </w:rPr>
      </w:pPr>
      <w:r>
        <w:rPr>
          <w:lang w:val="en-US"/>
        </w:rPr>
        <w:t xml:space="preserve">Where is appropriate, the training proposal </w:t>
      </w:r>
      <w:proofErr w:type="gramStart"/>
      <w:r>
        <w:rPr>
          <w:lang w:val="en-US"/>
        </w:rPr>
        <w:t>has to</w:t>
      </w:r>
      <w:proofErr w:type="gramEnd"/>
      <w:r>
        <w:rPr>
          <w:lang w:val="en-US"/>
        </w:rPr>
        <w:t xml:space="preserve"> be included in the tender;</w:t>
      </w:r>
    </w:p>
    <w:p w14:paraId="1993E65B" w14:textId="0B236F04" w:rsidR="009D40F4" w:rsidRPr="009D40F4" w:rsidRDefault="009D40F4" w:rsidP="009D40F4">
      <w:pPr>
        <w:pStyle w:val="ListParagraph"/>
        <w:numPr>
          <w:ilvl w:val="1"/>
          <w:numId w:val="32"/>
        </w:numPr>
        <w:rPr>
          <w:lang w:val="en-US"/>
        </w:rPr>
      </w:pPr>
      <w:r>
        <w:rPr>
          <w:lang w:val="en-US"/>
        </w:rPr>
        <w:t xml:space="preserve">If appropriate, the tender can include technical proposal related to ancillary services. </w:t>
      </w:r>
    </w:p>
    <w:p w14:paraId="738715A1" w14:textId="77777777" w:rsidR="003A72BC" w:rsidRPr="00DB5BAE" w:rsidRDefault="003A72BC" w:rsidP="009D40F4">
      <w:pPr>
        <w:rPr>
          <w:lang w:val="en-US"/>
        </w:rPr>
      </w:pPr>
    </w:p>
    <w:p w14:paraId="2055BCD3" w14:textId="77777777" w:rsidR="003A72BC" w:rsidRPr="00DB5BAE" w:rsidRDefault="003A72BC" w:rsidP="009D40F4">
      <w:pPr>
        <w:rPr>
          <w:lang w:val="en-US"/>
        </w:rPr>
      </w:pPr>
      <w:r w:rsidRPr="00DB5BAE">
        <w:rPr>
          <w:lang w:val="en-US"/>
        </w:rPr>
        <w:t>The technical offer should be presented as per template (Annex II+III*, Contractor’s technical offer) adding separate sheets for details if necessary.</w:t>
      </w:r>
    </w:p>
    <w:p w14:paraId="14399D88" w14:textId="77777777" w:rsidR="003A72BC" w:rsidRPr="00DB5BAE" w:rsidRDefault="003A72BC" w:rsidP="009D40F4">
      <w:pPr>
        <w:rPr>
          <w:b/>
          <w:lang w:val="en-US"/>
        </w:rPr>
      </w:pPr>
      <w:r w:rsidRPr="00DB5BAE">
        <w:rPr>
          <w:b/>
          <w:lang w:val="en-US"/>
        </w:rPr>
        <w:t>Part 2: Financial offer:</w:t>
      </w:r>
    </w:p>
    <w:p w14:paraId="015D2AB3" w14:textId="46929F9A" w:rsidR="003A72BC" w:rsidRDefault="003A72BC" w:rsidP="009D40F4">
      <w:pPr>
        <w:rPr>
          <w:lang w:val="en-US"/>
        </w:rPr>
      </w:pPr>
      <w:r w:rsidRPr="00DB5BAE">
        <w:rPr>
          <w:lang w:val="en-US"/>
        </w:rPr>
        <w:t xml:space="preserve">A financial offer calculated on </w:t>
      </w:r>
      <w:r w:rsidRPr="0077371F">
        <w:rPr>
          <w:lang w:val="en-US"/>
        </w:rPr>
        <w:t>a D</w:t>
      </w:r>
      <w:r w:rsidR="002E0D0C" w:rsidRPr="0077371F">
        <w:rPr>
          <w:lang w:val="en-US"/>
        </w:rPr>
        <w:t>D</w:t>
      </w:r>
      <w:r w:rsidRPr="0077371F">
        <w:rPr>
          <w:lang w:val="en-US"/>
        </w:rPr>
        <w:t>P</w:t>
      </w:r>
      <w:r w:rsidR="00942716" w:rsidRPr="0077371F">
        <w:rPr>
          <w:lang w:val="en-US"/>
        </w:rPr>
        <w:t xml:space="preserve"> (</w:t>
      </w:r>
      <w:r w:rsidR="002E0D0C" w:rsidRPr="0077371F">
        <w:rPr>
          <w:lang w:val="en-US"/>
        </w:rPr>
        <w:t>Delivered Duty Paid</w:t>
      </w:r>
      <w:r w:rsidR="00942716" w:rsidRPr="0077371F">
        <w:rPr>
          <w:lang w:val="en-US"/>
        </w:rPr>
        <w:t>)</w:t>
      </w:r>
      <w:r w:rsidRPr="0077371F">
        <w:rPr>
          <w:lang w:val="en-US"/>
        </w:rPr>
        <w:t xml:space="preserve"> basis for </w:t>
      </w:r>
      <w:r w:rsidRPr="00DB5BAE">
        <w:rPr>
          <w:lang w:val="en-US"/>
        </w:rPr>
        <w:t>the supplies tendered</w:t>
      </w:r>
      <w:r w:rsidR="00942716">
        <w:rPr>
          <w:lang w:val="en-US"/>
        </w:rPr>
        <w:t>, including, if applicable:</w:t>
      </w:r>
    </w:p>
    <w:p w14:paraId="71941C5F" w14:textId="163B7785" w:rsidR="00942716" w:rsidRDefault="00942716" w:rsidP="00942716">
      <w:pPr>
        <w:pStyle w:val="ListParagraph"/>
        <w:numPr>
          <w:ilvl w:val="1"/>
          <w:numId w:val="32"/>
        </w:numPr>
        <w:rPr>
          <w:lang w:val="en-US"/>
        </w:rPr>
      </w:pPr>
      <w:r>
        <w:rPr>
          <w:lang w:val="en-US"/>
        </w:rPr>
        <w:t>Financial proposal for spare parts and consumables for use for another 5 years, after the termination of the guarantee period;</w:t>
      </w:r>
    </w:p>
    <w:p w14:paraId="2E35D5ED" w14:textId="5066400F" w:rsidR="00DE3A04" w:rsidRDefault="00942716" w:rsidP="00DE3A04">
      <w:pPr>
        <w:pStyle w:val="ListParagraph"/>
        <w:numPr>
          <w:ilvl w:val="1"/>
          <w:numId w:val="32"/>
        </w:numPr>
        <w:rPr>
          <w:lang w:val="en-US"/>
        </w:rPr>
      </w:pPr>
      <w:r>
        <w:rPr>
          <w:lang w:val="en-US"/>
        </w:rPr>
        <w:t xml:space="preserve">Financial proposal </w:t>
      </w:r>
      <w:r w:rsidR="00DE3A04">
        <w:rPr>
          <w:lang w:val="en-US"/>
        </w:rPr>
        <w:t>for after-sales services for another 5 years, after the termination of the guarantee period;</w:t>
      </w:r>
    </w:p>
    <w:p w14:paraId="7DB45DEE" w14:textId="739DEF32" w:rsidR="00DE3A04" w:rsidRDefault="00DE3A04" w:rsidP="00DE3A04">
      <w:pPr>
        <w:pStyle w:val="ListParagraph"/>
        <w:numPr>
          <w:ilvl w:val="1"/>
          <w:numId w:val="32"/>
        </w:numPr>
        <w:rPr>
          <w:lang w:val="en-US"/>
        </w:rPr>
      </w:pPr>
      <w:r>
        <w:rPr>
          <w:lang w:val="en-US"/>
        </w:rPr>
        <w:t>Financial proposal for training;</w:t>
      </w:r>
    </w:p>
    <w:p w14:paraId="0B84758A" w14:textId="1C48B22C" w:rsidR="00DE3A04" w:rsidRPr="00DE3A04" w:rsidRDefault="00DE3A04" w:rsidP="00DE3A04">
      <w:pPr>
        <w:pStyle w:val="ListParagraph"/>
        <w:numPr>
          <w:ilvl w:val="1"/>
          <w:numId w:val="32"/>
        </w:numPr>
        <w:rPr>
          <w:lang w:val="en-US"/>
        </w:rPr>
      </w:pPr>
      <w:r>
        <w:rPr>
          <w:lang w:val="en-US"/>
        </w:rPr>
        <w:t>Financial proposal related to ancillary services.</w:t>
      </w:r>
    </w:p>
    <w:p w14:paraId="05A798A1" w14:textId="2BE80018" w:rsidR="003A72BC" w:rsidRPr="00DB5BAE" w:rsidRDefault="003A72BC" w:rsidP="009D40F4">
      <w:pPr>
        <w:rPr>
          <w:lang w:val="en-US"/>
        </w:rPr>
      </w:pPr>
      <w:r w:rsidRPr="00DB5BAE">
        <w:rPr>
          <w:lang w:val="en-US"/>
        </w:rPr>
        <w:t>This financial offer should be presented as per template (Annex IV*, Budget breakdown), adding separate sheets for details if necessary.</w:t>
      </w:r>
    </w:p>
    <w:p w14:paraId="0996FF3B" w14:textId="7E585332" w:rsidR="003A72BC" w:rsidRPr="00DB5BAE" w:rsidRDefault="003A72BC" w:rsidP="009D40F4">
      <w:pPr>
        <w:rPr>
          <w:lang w:val="en-US"/>
        </w:rPr>
      </w:pPr>
      <w:proofErr w:type="gramStart"/>
      <w:r w:rsidRPr="00DB5BAE">
        <w:rPr>
          <w:lang w:val="en-US"/>
        </w:rPr>
        <w:lastRenderedPageBreak/>
        <w:t>An electronic version of the financial offer</w:t>
      </w:r>
      <w:r w:rsidR="00DE3A04">
        <w:rPr>
          <w:lang w:val="en-US"/>
        </w:rPr>
        <w:t>,</w:t>
      </w:r>
      <w:proofErr w:type="gramEnd"/>
      <w:r w:rsidR="00DE3A04">
        <w:rPr>
          <w:lang w:val="en-US"/>
        </w:rPr>
        <w:t xml:space="preserve"> may also be included.</w:t>
      </w:r>
    </w:p>
    <w:p w14:paraId="00CA2A64" w14:textId="77777777" w:rsidR="003A72BC" w:rsidRPr="00DB5BAE" w:rsidRDefault="003A72BC" w:rsidP="009D40F4">
      <w:pPr>
        <w:rPr>
          <w:b/>
          <w:lang w:val="en-US"/>
        </w:rPr>
      </w:pPr>
      <w:r w:rsidRPr="00DB5BAE">
        <w:rPr>
          <w:b/>
          <w:lang w:val="en-US"/>
        </w:rPr>
        <w:t>Part 3: Documentation:</w:t>
      </w:r>
    </w:p>
    <w:p w14:paraId="66C8FB65" w14:textId="77777777" w:rsidR="003A72BC" w:rsidRDefault="003A72BC" w:rsidP="009D40F4">
      <w:pPr>
        <w:rPr>
          <w:lang w:val="en-US"/>
        </w:rPr>
      </w:pPr>
      <w:bookmarkStart w:id="18" w:name="_Toc42488081"/>
      <w:r w:rsidRPr="00DB5BAE">
        <w:rPr>
          <w:lang w:val="en-US"/>
        </w:rPr>
        <w:t>To be supplied using the templates attached*:</w:t>
      </w:r>
    </w:p>
    <w:p w14:paraId="7DE52DEF" w14:textId="75F3B41F" w:rsidR="00DC30DB" w:rsidRPr="00BB538D" w:rsidRDefault="00205F79" w:rsidP="00DC30DB">
      <w:pPr>
        <w:pStyle w:val="ListParagraph"/>
        <w:numPr>
          <w:ilvl w:val="0"/>
          <w:numId w:val="32"/>
        </w:numPr>
        <w:rPr>
          <w:lang w:val="en-US"/>
        </w:rPr>
      </w:pPr>
      <w:r w:rsidRPr="00BB538D">
        <w:rPr>
          <w:lang w:val="en-US"/>
        </w:rPr>
        <w:t xml:space="preserve">No </w:t>
      </w:r>
      <w:r w:rsidR="00DC30DB" w:rsidRPr="00BB538D">
        <w:rPr>
          <w:lang w:val="en-US"/>
        </w:rPr>
        <w:t>tender guarantee</w:t>
      </w:r>
      <w:r w:rsidRPr="00BB538D">
        <w:rPr>
          <w:lang w:val="en-US"/>
        </w:rPr>
        <w:t xml:space="preserve"> is required</w:t>
      </w:r>
      <w:r w:rsidR="00DC30DB" w:rsidRPr="00BB538D">
        <w:rPr>
          <w:lang w:val="en-US"/>
        </w:rPr>
        <w:t>;</w:t>
      </w:r>
    </w:p>
    <w:p w14:paraId="6AD21083" w14:textId="77777777" w:rsidR="00012A79" w:rsidRDefault="003A72BC" w:rsidP="00F95671">
      <w:pPr>
        <w:pStyle w:val="ListParagraph"/>
        <w:numPr>
          <w:ilvl w:val="0"/>
          <w:numId w:val="32"/>
        </w:numPr>
        <w:rPr>
          <w:lang w:val="en-US"/>
        </w:rPr>
      </w:pPr>
      <w:r w:rsidRPr="00BB538D">
        <w:rPr>
          <w:lang w:val="en-US"/>
        </w:rPr>
        <w:t>The ‘Tender Form for a Supply Contract’</w:t>
      </w:r>
      <w:r w:rsidRPr="00012A79">
        <w:rPr>
          <w:lang w:val="en-US"/>
        </w:rPr>
        <w:t xml:space="preserve">, together with its Annex 1 'Declaration of </w:t>
      </w:r>
      <w:proofErr w:type="spellStart"/>
      <w:r w:rsidRPr="00012A79">
        <w:rPr>
          <w:lang w:val="en-US"/>
        </w:rPr>
        <w:t>honour</w:t>
      </w:r>
      <w:proofErr w:type="spellEnd"/>
      <w:r w:rsidRPr="00012A79">
        <w:rPr>
          <w:lang w:val="en-US"/>
        </w:rPr>
        <w:t xml:space="preserve"> on exclusion criteria and selection criteria', both duly completed, which includes the</w:t>
      </w:r>
      <w:r w:rsidRPr="00012A79">
        <w:rPr>
          <w:u w:val="single"/>
          <w:lang w:val="en-US"/>
        </w:rPr>
        <w:t xml:space="preserve"> </w:t>
      </w:r>
      <w:r w:rsidRPr="00012A79">
        <w:rPr>
          <w:lang w:val="en-US"/>
        </w:rPr>
        <w:t>tenderer’s declaration, point 7, (from each member if a consortium):</w:t>
      </w:r>
    </w:p>
    <w:p w14:paraId="6A4192D8" w14:textId="3B0836E2" w:rsidR="004052F1" w:rsidRDefault="003A72BC" w:rsidP="00766220">
      <w:pPr>
        <w:pStyle w:val="ListParagraph"/>
        <w:numPr>
          <w:ilvl w:val="0"/>
          <w:numId w:val="32"/>
        </w:numPr>
        <w:rPr>
          <w:lang w:val="en-US"/>
        </w:rPr>
      </w:pPr>
      <w:r w:rsidRPr="004052F1">
        <w:rPr>
          <w:lang w:val="en-US"/>
        </w:rPr>
        <w:t>The details of the bank account into which payments should be made (financial identification form – document c4o1_fif_en) (Tenderers that have already signed another contract with the European Commission, may provide their financial identification form number instead of the financial identification form, or a copy of the financial identification form provided on that occasion, if no chan</w:t>
      </w:r>
      <w:r w:rsidR="00DC30DB">
        <w:rPr>
          <w:lang w:val="en-US"/>
        </w:rPr>
        <w:t>ge has occurred in the meantime</w:t>
      </w:r>
      <w:r w:rsidRPr="004052F1">
        <w:rPr>
          <w:lang w:val="en-US"/>
        </w:rPr>
        <w:t>)</w:t>
      </w:r>
      <w:r w:rsidR="00DC30DB">
        <w:rPr>
          <w:lang w:val="en-US"/>
        </w:rPr>
        <w:t>;</w:t>
      </w:r>
    </w:p>
    <w:p w14:paraId="71ACCACA" w14:textId="70AB4933" w:rsidR="003A72BC" w:rsidRPr="004052F1" w:rsidRDefault="003A72BC" w:rsidP="00766220">
      <w:pPr>
        <w:pStyle w:val="ListParagraph"/>
        <w:numPr>
          <w:ilvl w:val="0"/>
          <w:numId w:val="32"/>
        </w:numPr>
        <w:rPr>
          <w:lang w:val="en-US"/>
        </w:rPr>
      </w:pPr>
      <w:r w:rsidRPr="004052F1">
        <w:rPr>
          <w:lang w:val="en-US"/>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14:paraId="0CEC9275" w14:textId="76241678" w:rsidR="003A72BC" w:rsidRPr="00DB5BAE" w:rsidRDefault="003A72BC" w:rsidP="009D40F4">
      <w:pPr>
        <w:rPr>
          <w:lang w:val="en-US"/>
        </w:rPr>
      </w:pPr>
    </w:p>
    <w:p w14:paraId="6ABB5BB5" w14:textId="77777777" w:rsidR="003A72BC" w:rsidRPr="00DB5BAE" w:rsidRDefault="003A72BC" w:rsidP="009D40F4">
      <w:pPr>
        <w:rPr>
          <w:lang w:val="en-US"/>
        </w:rPr>
      </w:pPr>
      <w:r w:rsidRPr="00DB5BAE">
        <w:rPr>
          <w:lang w:val="en-US"/>
        </w:rPr>
        <w:t>To be supplied in free-text format:</w:t>
      </w:r>
    </w:p>
    <w:p w14:paraId="5FE563C8" w14:textId="77777777" w:rsidR="004052F1" w:rsidRPr="004052F1" w:rsidRDefault="003A72BC" w:rsidP="009D40F4">
      <w:pPr>
        <w:pStyle w:val="ListParagraph"/>
        <w:numPr>
          <w:ilvl w:val="0"/>
          <w:numId w:val="33"/>
        </w:numPr>
        <w:rPr>
          <w:lang w:val="en-US"/>
        </w:rPr>
      </w:pPr>
      <w:r w:rsidRPr="004052F1">
        <w:rPr>
          <w:lang w:val="en-US"/>
        </w:rPr>
        <w:t>A description of the warranty conditions, which must be in accordance with the conditions laid down in Article 32 of the General Conditions</w:t>
      </w:r>
      <w:r w:rsidRPr="004052F1">
        <w:rPr>
          <w:color w:val="339966"/>
          <w:u w:val="single"/>
          <w:lang w:val="en-US"/>
        </w:rPr>
        <w:t>.</w:t>
      </w:r>
    </w:p>
    <w:p w14:paraId="6F5391F5" w14:textId="77777777" w:rsidR="004052F1" w:rsidRDefault="003A72BC" w:rsidP="009D40F4">
      <w:pPr>
        <w:pStyle w:val="ListParagraph"/>
        <w:numPr>
          <w:ilvl w:val="0"/>
          <w:numId w:val="33"/>
        </w:numPr>
        <w:rPr>
          <w:lang w:val="en-US"/>
        </w:rPr>
      </w:pPr>
      <w:r w:rsidRPr="004052F1">
        <w:rPr>
          <w:lang w:val="en-US"/>
        </w:rPr>
        <w:t>A statement by the tenderer attesting the origin of the supplies tendered (or other proofs of origin).</w:t>
      </w:r>
    </w:p>
    <w:p w14:paraId="68D58C4D" w14:textId="5A5FC543" w:rsidR="003A72BC" w:rsidRPr="004052F1" w:rsidRDefault="003A72BC" w:rsidP="009D40F4">
      <w:pPr>
        <w:pStyle w:val="ListParagraph"/>
        <w:numPr>
          <w:ilvl w:val="0"/>
          <w:numId w:val="33"/>
        </w:numPr>
        <w:rPr>
          <w:lang w:val="en-US"/>
        </w:rPr>
      </w:pPr>
      <w:r w:rsidRPr="004052F1">
        <w:rPr>
          <w:lang w:val="en-US"/>
        </w:rPr>
        <w:t xml:space="preserve">Duly </w:t>
      </w:r>
      <w:r w:rsidR="004052F1" w:rsidRPr="004052F1">
        <w:rPr>
          <w:lang w:val="en-US"/>
        </w:rPr>
        <w:t>authorized</w:t>
      </w:r>
      <w:r w:rsidRPr="004052F1">
        <w:rPr>
          <w:lang w:val="en-US"/>
        </w:rPr>
        <w:t xml:space="preserve"> signature: an official document (statutes, power of attorney, notary statement, etc.) proving that the person who signs on behalf of the company, joint venture or consortium is duly </w:t>
      </w:r>
      <w:r w:rsidR="004052F1" w:rsidRPr="004052F1">
        <w:rPr>
          <w:lang w:val="en-US"/>
        </w:rPr>
        <w:t>authorized</w:t>
      </w:r>
      <w:r w:rsidRPr="004052F1">
        <w:rPr>
          <w:lang w:val="en-US"/>
        </w:rPr>
        <w:t xml:space="preserve"> to do so.</w:t>
      </w:r>
    </w:p>
    <w:p w14:paraId="637466C6" w14:textId="77777777" w:rsidR="003A72BC" w:rsidRPr="00DB5BAE" w:rsidRDefault="003A72BC" w:rsidP="009D40F4">
      <w:pPr>
        <w:rPr>
          <w:lang w:val="en-US"/>
        </w:rPr>
      </w:pPr>
    </w:p>
    <w:p w14:paraId="03979CFD" w14:textId="77777777" w:rsidR="003A72BC" w:rsidRPr="00DC30DB" w:rsidRDefault="003A72BC" w:rsidP="009D40F4">
      <w:pPr>
        <w:rPr>
          <w:b/>
          <w:lang w:val="en-US"/>
        </w:rPr>
      </w:pPr>
      <w:r w:rsidRPr="00DC30DB">
        <w:rPr>
          <w:b/>
          <w:lang w:val="en-US"/>
        </w:rPr>
        <w:t>Remarks:</w:t>
      </w:r>
    </w:p>
    <w:p w14:paraId="6A6E4E54" w14:textId="77777777" w:rsidR="003A72BC" w:rsidRPr="00DB5BAE" w:rsidRDefault="003A72BC" w:rsidP="009D40F4">
      <w:pPr>
        <w:rPr>
          <w:lang w:val="en-US"/>
        </w:rPr>
      </w:pPr>
      <w:r w:rsidRPr="00DB5BAE">
        <w:rPr>
          <w:lang w:val="en-US"/>
        </w:rPr>
        <w:t>Tenderers are requested to follow this order of presentation.</w:t>
      </w:r>
    </w:p>
    <w:p w14:paraId="24BFE41A" w14:textId="77777777" w:rsidR="003A72BC" w:rsidRPr="00DB5BAE" w:rsidRDefault="003A72BC" w:rsidP="009D40F4">
      <w:pPr>
        <w:rPr>
          <w:lang w:val="en-US" w:eastAsia="en-GB"/>
        </w:rPr>
      </w:pPr>
      <w:r w:rsidRPr="00DB5BAE">
        <w:rPr>
          <w:lang w:val="en-US"/>
        </w:rPr>
        <w:t xml:space="preserve">Annex* refers to templates attached to the tender dossier. These templates are also available on: </w:t>
      </w:r>
      <w:hyperlink r:id="rId9" w:history="1">
        <w:r w:rsidRPr="00DB5BAE">
          <w:rPr>
            <w:rStyle w:val="Hyperlink"/>
            <w:rFonts w:ascii="Times New Roman" w:hAnsi="Times New Roman"/>
            <w:lang w:val="en-US" w:eastAsia="en-GB"/>
          </w:rPr>
          <w:t>http://ec.europa.eu/europeaid/prag/annexes.do?group=C</w:t>
        </w:r>
      </w:hyperlink>
      <w:r w:rsidRPr="00DB5BAE">
        <w:rPr>
          <w:color w:val="0000FF"/>
          <w:u w:val="single"/>
          <w:lang w:val="en-US" w:eastAsia="en-GB"/>
        </w:rPr>
        <w:t xml:space="preserve"> </w:t>
      </w:r>
    </w:p>
    <w:p w14:paraId="709E8F63" w14:textId="452E44B5" w:rsidR="003A72BC" w:rsidRPr="00DB5BAE" w:rsidRDefault="00DC30DB" w:rsidP="00DC30DB">
      <w:pPr>
        <w:pStyle w:val="Heading1"/>
      </w:pPr>
      <w:r>
        <w:t xml:space="preserve">12. </w:t>
      </w:r>
      <w:r w:rsidR="003A72BC" w:rsidRPr="00DB5BAE">
        <w:t>Taxes and other charges</w:t>
      </w:r>
      <w:bookmarkEnd w:id="18"/>
    </w:p>
    <w:p w14:paraId="3F3C9407" w14:textId="1BC3FD24" w:rsidR="003A72BC" w:rsidRPr="00DB5BAE" w:rsidRDefault="00CD62EA" w:rsidP="00CD62EA">
      <w:pPr>
        <w:rPr>
          <w:lang w:val="en-US"/>
        </w:rPr>
      </w:pPr>
      <w:bookmarkStart w:id="19" w:name="_Toc42488082"/>
      <w:r w:rsidRPr="00CD62EA">
        <w:rPr>
          <w:lang w:val="en-US"/>
        </w:rPr>
        <w:t>General provisions regarding tax and customs arrangements are attached to the tender dossier</w:t>
      </w:r>
      <w:r w:rsidR="003A72BC" w:rsidRPr="00DB5BAE">
        <w:rPr>
          <w:lang w:val="en-US"/>
        </w:rPr>
        <w:t>.</w:t>
      </w:r>
      <w:r>
        <w:rPr>
          <w:lang w:val="en-US"/>
        </w:rPr>
        <w:t xml:space="preserve"> That means, the offers must include all the taxes and fees requested to be paid by the Contractor in order to deliver the goods (</w:t>
      </w:r>
      <w:r w:rsidRPr="00CD62EA">
        <w:rPr>
          <w:lang w:val="en-US"/>
        </w:rPr>
        <w:t>merchandise</w:t>
      </w:r>
      <w:r>
        <w:rPr>
          <w:lang w:val="en-US"/>
        </w:rPr>
        <w:t>, instruments, chemicals, and all other supplies</w:t>
      </w:r>
      <w:r w:rsidR="008B58FD">
        <w:rPr>
          <w:lang w:val="en-US"/>
        </w:rPr>
        <w:t>)</w:t>
      </w:r>
      <w:r>
        <w:rPr>
          <w:lang w:val="en-US"/>
        </w:rPr>
        <w:t xml:space="preserve"> </w:t>
      </w:r>
      <w:r w:rsidR="008B58FD">
        <w:rPr>
          <w:lang w:val="en-US"/>
        </w:rPr>
        <w:t>according with its tender at the location established by the Contracting Authority.</w:t>
      </w:r>
    </w:p>
    <w:p w14:paraId="1207993A" w14:textId="48D30467" w:rsidR="003A72BC" w:rsidRPr="00DB5BAE" w:rsidRDefault="008B58FD" w:rsidP="00C96724">
      <w:pPr>
        <w:pStyle w:val="Heading1"/>
      </w:pPr>
      <w:r>
        <w:lastRenderedPageBreak/>
        <w:t xml:space="preserve">13. </w:t>
      </w:r>
      <w:r w:rsidR="003A72BC" w:rsidRPr="00DB5BAE">
        <w:t>Additional information before the deadline for submission of tenders</w:t>
      </w:r>
      <w:bookmarkEnd w:id="19"/>
    </w:p>
    <w:p w14:paraId="488E00E4" w14:textId="77777777" w:rsidR="003A72BC" w:rsidRPr="00DB5BAE" w:rsidRDefault="003A72BC" w:rsidP="008B58FD">
      <w:pPr>
        <w:rPr>
          <w:lang w:val="en-US"/>
        </w:rPr>
      </w:pPr>
      <w:r w:rsidRPr="00DB5BAE">
        <w:rPr>
          <w:lang w:val="en-US"/>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0AC4F4DC" w14:textId="77777777" w:rsidR="003A72BC" w:rsidRDefault="003A72BC" w:rsidP="008B58FD">
      <w:pPr>
        <w:rPr>
          <w:lang w:val="en-US"/>
        </w:rPr>
      </w:pPr>
      <w:r w:rsidRPr="00DB5BAE">
        <w:rPr>
          <w:lang w:val="en-US"/>
        </w:rPr>
        <w:t xml:space="preserve">Tenderers may submit questions in writing to the following address up to 21 days before the deadline for submission of tenders, specifying the </w:t>
      </w:r>
      <w:r w:rsidRPr="00DB5BAE">
        <w:rPr>
          <w:b/>
          <w:lang w:val="en-US"/>
        </w:rPr>
        <w:t>publication reference and the contract title</w:t>
      </w:r>
      <w:r w:rsidRPr="00DB5BAE">
        <w:rPr>
          <w:lang w:val="en-US"/>
        </w:rPr>
        <w:t>:</w:t>
      </w:r>
    </w:p>
    <w:p w14:paraId="05224901" w14:textId="77777777" w:rsidR="008B58FD" w:rsidRPr="004A7558" w:rsidRDefault="008B58FD" w:rsidP="008B58FD">
      <w:pPr>
        <w:pStyle w:val="NoSpacing"/>
        <w:rPr>
          <w:sz w:val="22"/>
          <w:szCs w:val="22"/>
        </w:rPr>
      </w:pPr>
      <w:r w:rsidRPr="004A7558">
        <w:rPr>
          <w:sz w:val="22"/>
          <w:szCs w:val="22"/>
        </w:rPr>
        <w:t xml:space="preserve">Address: </w:t>
      </w:r>
    </w:p>
    <w:p w14:paraId="0F57570D" w14:textId="77777777" w:rsidR="008B58FD" w:rsidRPr="004A7558" w:rsidRDefault="008B58FD" w:rsidP="008B58FD">
      <w:pPr>
        <w:spacing w:before="0" w:after="0" w:line="240" w:lineRule="auto"/>
        <w:rPr>
          <w:rFonts w:cstheme="minorHAnsi"/>
          <w:b/>
          <w:lang w:val="en-GB"/>
        </w:rPr>
      </w:pPr>
      <w:proofErr w:type="spellStart"/>
      <w:r w:rsidRPr="004A7558">
        <w:rPr>
          <w:rFonts w:cstheme="minorHAnsi"/>
          <w:b/>
          <w:lang w:val="en-GB"/>
        </w:rPr>
        <w:t>Universitatea</w:t>
      </w:r>
      <w:proofErr w:type="spellEnd"/>
      <w:r w:rsidRPr="004A7558">
        <w:rPr>
          <w:rFonts w:cstheme="minorHAnsi"/>
          <w:b/>
          <w:lang w:val="en-GB"/>
        </w:rPr>
        <w:t xml:space="preserve"> de Vest din </w:t>
      </w:r>
      <w:proofErr w:type="spellStart"/>
      <w:r w:rsidRPr="004A7558">
        <w:rPr>
          <w:rFonts w:cstheme="minorHAnsi"/>
          <w:b/>
          <w:lang w:val="en-GB"/>
        </w:rPr>
        <w:t>Timișoara</w:t>
      </w:r>
      <w:proofErr w:type="spellEnd"/>
      <w:r w:rsidRPr="004A7558">
        <w:rPr>
          <w:rFonts w:cstheme="minorHAnsi"/>
          <w:b/>
          <w:lang w:val="en-GB"/>
        </w:rPr>
        <w:t xml:space="preserve">, </w:t>
      </w:r>
      <w:proofErr w:type="spellStart"/>
      <w:r w:rsidRPr="004A7558">
        <w:rPr>
          <w:rFonts w:cstheme="minorHAnsi"/>
          <w:b/>
          <w:lang w:val="en-GB"/>
        </w:rPr>
        <w:t>Blv</w:t>
      </w:r>
      <w:proofErr w:type="spellEnd"/>
      <w:r w:rsidRPr="004A7558">
        <w:rPr>
          <w:rFonts w:cstheme="minorHAnsi"/>
          <w:b/>
          <w:lang w:val="en-GB"/>
        </w:rPr>
        <w:t xml:space="preserve">. V. </w:t>
      </w:r>
      <w:proofErr w:type="spellStart"/>
      <w:r w:rsidRPr="004A7558">
        <w:rPr>
          <w:rFonts w:cstheme="minorHAnsi"/>
          <w:b/>
          <w:lang w:val="en-GB"/>
        </w:rPr>
        <w:t>Pârvan</w:t>
      </w:r>
      <w:proofErr w:type="spellEnd"/>
      <w:r w:rsidRPr="004A7558">
        <w:rPr>
          <w:rFonts w:cstheme="minorHAnsi"/>
          <w:b/>
          <w:lang w:val="en-GB"/>
        </w:rPr>
        <w:t xml:space="preserve"> 4, 300223, </w:t>
      </w:r>
      <w:proofErr w:type="spellStart"/>
      <w:r w:rsidRPr="004A7558">
        <w:rPr>
          <w:rFonts w:cstheme="minorHAnsi"/>
          <w:b/>
          <w:lang w:val="en-GB"/>
        </w:rPr>
        <w:t>Timișoara</w:t>
      </w:r>
      <w:proofErr w:type="spellEnd"/>
    </w:p>
    <w:p w14:paraId="24B33D3B" w14:textId="60B4EC07" w:rsidR="008B58FD" w:rsidRPr="004A7558" w:rsidRDefault="008B58FD" w:rsidP="008B58FD">
      <w:pPr>
        <w:pStyle w:val="NoSpacing"/>
        <w:rPr>
          <w:rFonts w:asciiTheme="minorHAnsi" w:hAnsiTheme="minorHAnsi" w:cstheme="minorHAnsi"/>
          <w:sz w:val="22"/>
          <w:szCs w:val="22"/>
        </w:rPr>
      </w:pPr>
      <w:r w:rsidRPr="004A7558">
        <w:rPr>
          <w:rFonts w:asciiTheme="minorHAnsi" w:hAnsiTheme="minorHAnsi" w:cstheme="minorHAnsi"/>
          <w:sz w:val="22"/>
          <w:szCs w:val="22"/>
        </w:rPr>
        <w:t xml:space="preserve">Contact Person: </w:t>
      </w:r>
      <w:r w:rsidRPr="004A7558">
        <w:rPr>
          <w:rFonts w:asciiTheme="minorHAnsi" w:hAnsiTheme="minorHAnsi" w:cstheme="minorHAnsi"/>
          <w:b/>
          <w:sz w:val="22"/>
          <w:szCs w:val="22"/>
        </w:rPr>
        <w:t xml:space="preserve">Vasile </w:t>
      </w:r>
      <w:proofErr w:type="spellStart"/>
      <w:r w:rsidRPr="004A7558">
        <w:rPr>
          <w:rFonts w:asciiTheme="minorHAnsi" w:hAnsiTheme="minorHAnsi" w:cstheme="minorHAnsi"/>
          <w:b/>
          <w:sz w:val="22"/>
          <w:szCs w:val="22"/>
        </w:rPr>
        <w:t>Ostafe</w:t>
      </w:r>
      <w:proofErr w:type="spellEnd"/>
      <w:r w:rsidRPr="004A7558">
        <w:rPr>
          <w:rFonts w:asciiTheme="minorHAnsi" w:hAnsiTheme="minorHAnsi" w:cstheme="minorHAnsi"/>
          <w:b/>
          <w:sz w:val="22"/>
          <w:szCs w:val="22"/>
        </w:rPr>
        <w:t xml:space="preserve"> (</w:t>
      </w:r>
      <w:hyperlink r:id="rId10" w:history="1">
        <w:r w:rsidRPr="004A7558">
          <w:rPr>
            <w:rStyle w:val="Hyperlink"/>
            <w:rFonts w:asciiTheme="minorHAnsi" w:hAnsiTheme="minorHAnsi" w:cstheme="minorHAnsi"/>
            <w:b/>
            <w:sz w:val="22"/>
            <w:szCs w:val="22"/>
          </w:rPr>
          <w:t>vasile.ostafe@e-uvt.ro</w:t>
        </w:r>
      </w:hyperlink>
      <w:r w:rsidRPr="004A7558">
        <w:rPr>
          <w:rFonts w:asciiTheme="minorHAnsi" w:hAnsiTheme="minorHAnsi" w:cstheme="minorHAnsi"/>
          <w:b/>
          <w:sz w:val="22"/>
          <w:szCs w:val="22"/>
        </w:rPr>
        <w:t xml:space="preserve"> </w:t>
      </w:r>
      <w:r w:rsidR="00D87B34">
        <w:rPr>
          <w:rFonts w:asciiTheme="minorHAnsi" w:hAnsiTheme="minorHAnsi" w:cstheme="minorHAnsi"/>
          <w:b/>
          <w:sz w:val="22"/>
          <w:szCs w:val="22"/>
        </w:rPr>
        <w:t>or</w:t>
      </w:r>
      <w:r w:rsidRPr="004A7558">
        <w:rPr>
          <w:rFonts w:asciiTheme="minorHAnsi" w:hAnsiTheme="minorHAnsi" w:cstheme="minorHAnsi"/>
          <w:b/>
          <w:sz w:val="22"/>
          <w:szCs w:val="22"/>
        </w:rPr>
        <w:t xml:space="preserve"> </w:t>
      </w:r>
      <w:hyperlink r:id="rId11" w:history="1">
        <w:r w:rsidRPr="004A7558">
          <w:rPr>
            <w:rStyle w:val="Hyperlink"/>
            <w:rFonts w:asciiTheme="minorHAnsi" w:hAnsiTheme="minorHAnsi" w:cstheme="minorHAnsi"/>
            <w:b/>
            <w:sz w:val="22"/>
            <w:szCs w:val="22"/>
          </w:rPr>
          <w:t>vostafe@yahoo.com</w:t>
        </w:r>
      </w:hyperlink>
      <w:r w:rsidRPr="004A7558">
        <w:rPr>
          <w:rFonts w:asciiTheme="minorHAnsi" w:hAnsiTheme="minorHAnsi" w:cstheme="minorHAnsi"/>
          <w:b/>
          <w:sz w:val="22"/>
          <w:szCs w:val="22"/>
        </w:rPr>
        <w:t xml:space="preserve"> </w:t>
      </w:r>
      <w:proofErr w:type="spellStart"/>
      <w:r w:rsidRPr="004A7558">
        <w:rPr>
          <w:rFonts w:asciiTheme="minorHAnsi" w:hAnsiTheme="minorHAnsi" w:cstheme="minorHAnsi"/>
          <w:b/>
          <w:sz w:val="22"/>
          <w:szCs w:val="22"/>
        </w:rPr>
        <w:t>tel</w:t>
      </w:r>
      <w:proofErr w:type="spellEnd"/>
      <w:r w:rsidRPr="004A7558">
        <w:rPr>
          <w:rFonts w:asciiTheme="minorHAnsi" w:hAnsiTheme="minorHAnsi" w:cstheme="minorHAnsi"/>
          <w:b/>
          <w:sz w:val="22"/>
          <w:szCs w:val="22"/>
        </w:rPr>
        <w:t xml:space="preserve"> 0755240153)</w:t>
      </w:r>
    </w:p>
    <w:p w14:paraId="2D832F35" w14:textId="77777777" w:rsidR="003A72BC" w:rsidRPr="00DB5BAE" w:rsidRDefault="003A72BC" w:rsidP="008B58FD">
      <w:pPr>
        <w:rPr>
          <w:lang w:val="en-US"/>
        </w:rPr>
      </w:pPr>
      <w:r w:rsidRPr="00DB5BAE">
        <w:rPr>
          <w:lang w:val="en-US"/>
        </w:rPr>
        <w:t>The Contracting Authority has no obligation to provide clarifications after this date.</w:t>
      </w:r>
    </w:p>
    <w:p w14:paraId="1CB6D029" w14:textId="77777777" w:rsidR="003A72BC" w:rsidRPr="00DB5BAE" w:rsidRDefault="003A72BC" w:rsidP="008B58FD">
      <w:pPr>
        <w:rPr>
          <w:lang w:val="en-US"/>
        </w:rPr>
      </w:pPr>
      <w:r w:rsidRPr="00DB5BAE">
        <w:rPr>
          <w:lang w:val="en-US"/>
        </w:rPr>
        <w:t xml:space="preserve">Any clarification of the tender dossier will be published on the Interreg-IPA Cross-border Cooperation Romania-Serbia </w:t>
      </w:r>
      <w:proofErr w:type="spellStart"/>
      <w:r w:rsidRPr="00DB5BAE">
        <w:rPr>
          <w:lang w:val="en-US"/>
        </w:rPr>
        <w:t>Programme</w:t>
      </w:r>
      <w:proofErr w:type="spellEnd"/>
      <w:r w:rsidRPr="00DB5BAE">
        <w:rPr>
          <w:lang w:val="en-US"/>
        </w:rPr>
        <w:t xml:space="preserve"> website </w:t>
      </w:r>
      <w:hyperlink r:id="rId12" w:history="1">
        <w:r w:rsidRPr="00DB5BAE">
          <w:rPr>
            <w:rStyle w:val="Hyperlink"/>
            <w:rFonts w:ascii="Times New Roman" w:hAnsi="Times New Roman"/>
            <w:lang w:val="en-US"/>
          </w:rPr>
          <w:t>http://www.romania-serbia.net/?page_id=2540</w:t>
        </w:r>
      </w:hyperlink>
      <w:r w:rsidRPr="00DB5BAE">
        <w:rPr>
          <w:lang w:val="en-US"/>
        </w:rPr>
        <w:t xml:space="preserve">  at the latest 11 days before the deadline for submission of tenders.</w:t>
      </w:r>
    </w:p>
    <w:p w14:paraId="2C5C6872" w14:textId="77777777" w:rsidR="003A72BC" w:rsidRPr="00DB5BAE" w:rsidRDefault="003A72BC" w:rsidP="008B58FD">
      <w:pPr>
        <w:rPr>
          <w:lang w:val="en-US"/>
        </w:rPr>
      </w:pPr>
      <w:r w:rsidRPr="00DB5BAE">
        <w:rPr>
          <w:lang w:val="en-US"/>
        </w:rPr>
        <w:t>Any prospective tenderers seeking to arrange individual meetings with either the Contracting Authority and/or the European Commission during the tender period may be excluded from the tender procedure.</w:t>
      </w:r>
    </w:p>
    <w:p w14:paraId="701FB60D" w14:textId="17CFAD06" w:rsidR="003A72BC" w:rsidRPr="00DB5BAE" w:rsidRDefault="00D87B34" w:rsidP="00C96724">
      <w:pPr>
        <w:pStyle w:val="Heading1"/>
      </w:pPr>
      <w:bookmarkStart w:id="20" w:name="_Toc42488083"/>
      <w:r>
        <w:t xml:space="preserve">14. </w:t>
      </w:r>
      <w:r w:rsidR="003A72BC" w:rsidRPr="00DB5BAE">
        <w:t>Clarification meeting / site visit</w:t>
      </w:r>
      <w:bookmarkEnd w:id="20"/>
    </w:p>
    <w:p w14:paraId="0B980C5C" w14:textId="4D2A5E72" w:rsidR="003A72BC" w:rsidRPr="00DB5BAE" w:rsidRDefault="003A72BC" w:rsidP="00D87B34">
      <w:pPr>
        <w:rPr>
          <w:lang w:val="en-US"/>
        </w:rPr>
      </w:pPr>
      <w:r w:rsidRPr="00D87B34">
        <w:rPr>
          <w:b/>
          <w:lang w:val="en-US"/>
        </w:rPr>
        <w:t>14.1</w:t>
      </w:r>
      <w:r w:rsidR="00D87B34" w:rsidRPr="00D87B34">
        <w:rPr>
          <w:b/>
          <w:lang w:val="en-US"/>
        </w:rPr>
        <w:t>.</w:t>
      </w:r>
      <w:r w:rsidRPr="00DB5BAE">
        <w:rPr>
          <w:lang w:val="en-US"/>
        </w:rPr>
        <w:tab/>
        <w:t xml:space="preserve">No clarification meeting / site visit planned. Visits by individual prospective tenderers during the tender period cannot be </w:t>
      </w:r>
      <w:r w:rsidR="00D87B34" w:rsidRPr="00DB5BAE">
        <w:rPr>
          <w:lang w:val="en-US"/>
        </w:rPr>
        <w:t>organized</w:t>
      </w:r>
      <w:r w:rsidRPr="00DB5BAE">
        <w:rPr>
          <w:lang w:val="en-US"/>
        </w:rPr>
        <w:t xml:space="preserve">. </w:t>
      </w:r>
    </w:p>
    <w:p w14:paraId="631ECDCE" w14:textId="6D7619BF" w:rsidR="003A72BC" w:rsidRPr="00DB5BAE" w:rsidRDefault="00D87B34" w:rsidP="00C96724">
      <w:pPr>
        <w:pStyle w:val="Heading1"/>
      </w:pPr>
      <w:bookmarkStart w:id="21" w:name="_Toc42488084"/>
      <w:r>
        <w:t xml:space="preserve">15. </w:t>
      </w:r>
      <w:r w:rsidR="003A72BC" w:rsidRPr="00DB5BAE">
        <w:t>Alteration or withdrawal of tenders</w:t>
      </w:r>
      <w:bookmarkEnd w:id="21"/>
    </w:p>
    <w:p w14:paraId="2FCA545E" w14:textId="66C6A886" w:rsidR="003A72BC" w:rsidRPr="00DB5BAE" w:rsidRDefault="003A72BC" w:rsidP="00D87B34">
      <w:pPr>
        <w:rPr>
          <w:lang w:val="en-US"/>
        </w:rPr>
      </w:pPr>
      <w:r w:rsidRPr="00D87B34">
        <w:rPr>
          <w:b/>
          <w:lang w:val="en-US"/>
        </w:rPr>
        <w:t>15.1</w:t>
      </w:r>
      <w:r w:rsidR="00D87B34" w:rsidRPr="00D87B34">
        <w:rPr>
          <w:b/>
          <w:lang w:val="en-US"/>
        </w:rPr>
        <w:t>.</w:t>
      </w:r>
      <w:r w:rsidRPr="00DB5BAE">
        <w:rPr>
          <w:lang w:val="en-US"/>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00136FA5" w14:textId="6E3C0B7F" w:rsidR="003A72BC" w:rsidRPr="00DB5BAE" w:rsidRDefault="003A72BC" w:rsidP="00D87B34">
      <w:pPr>
        <w:rPr>
          <w:lang w:val="en-US"/>
        </w:rPr>
      </w:pPr>
      <w:r w:rsidRPr="00D87B34">
        <w:rPr>
          <w:b/>
          <w:lang w:val="en-US"/>
        </w:rPr>
        <w:t>15.2</w:t>
      </w:r>
      <w:r w:rsidR="00D87B34" w:rsidRPr="00D87B34">
        <w:rPr>
          <w:b/>
          <w:lang w:val="en-US"/>
        </w:rPr>
        <w:t>.</w:t>
      </w:r>
      <w:r w:rsidRPr="00DB5BAE">
        <w:rPr>
          <w:lang w:val="en-US"/>
        </w:rPr>
        <w:tab/>
        <w:t>Any such notification of alteration or withdrawal must be prepared and submitted in accordance with Article 10. The outer envelope must be marked ‘Alteration’ or ‘Withdrawal’ as appropriate.</w:t>
      </w:r>
    </w:p>
    <w:p w14:paraId="04AECA16" w14:textId="1091F9C8" w:rsidR="003A72BC" w:rsidRPr="00DB5BAE" w:rsidRDefault="003A72BC" w:rsidP="00D87B34">
      <w:pPr>
        <w:rPr>
          <w:lang w:val="en-US"/>
        </w:rPr>
      </w:pPr>
      <w:r w:rsidRPr="00D87B34">
        <w:rPr>
          <w:b/>
          <w:lang w:val="en-US"/>
        </w:rPr>
        <w:t>15.3</w:t>
      </w:r>
      <w:r w:rsidR="00D87B34" w:rsidRPr="00D87B34">
        <w:rPr>
          <w:b/>
          <w:lang w:val="en-US"/>
        </w:rPr>
        <w:t>.</w:t>
      </w:r>
      <w:r w:rsidRPr="00DB5BAE">
        <w:rPr>
          <w:lang w:val="en-US"/>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408B69DD" w14:textId="4B281DD6" w:rsidR="003A72BC" w:rsidRPr="00DB5BAE" w:rsidRDefault="00D87B34" w:rsidP="00C96724">
      <w:pPr>
        <w:pStyle w:val="Heading1"/>
      </w:pPr>
      <w:bookmarkStart w:id="22" w:name="_Toc42488085"/>
      <w:r>
        <w:t xml:space="preserve">16. </w:t>
      </w:r>
      <w:r w:rsidR="003A72BC" w:rsidRPr="00DB5BAE">
        <w:t>Costs of preparing tenders</w:t>
      </w:r>
      <w:bookmarkEnd w:id="22"/>
    </w:p>
    <w:p w14:paraId="3F690970" w14:textId="77777777" w:rsidR="003A72BC" w:rsidRPr="00DB5BAE" w:rsidRDefault="003A72BC" w:rsidP="00D87B34">
      <w:pPr>
        <w:rPr>
          <w:lang w:val="en-US"/>
        </w:rPr>
      </w:pPr>
      <w:r w:rsidRPr="00DB5BAE">
        <w:rPr>
          <w:lang w:val="en-US"/>
        </w:rPr>
        <w:t>No costs incurred by the tenderer in preparing and submitting the tender are reimbursable. All such costs will be borne by the tenderer.</w:t>
      </w:r>
    </w:p>
    <w:p w14:paraId="3B9BE042" w14:textId="5D0D6CB6" w:rsidR="003A72BC" w:rsidRPr="00DB5BAE" w:rsidRDefault="00D87B34" w:rsidP="00C96724">
      <w:pPr>
        <w:pStyle w:val="Heading1"/>
      </w:pPr>
      <w:bookmarkStart w:id="23" w:name="_Toc42488086"/>
      <w:r>
        <w:lastRenderedPageBreak/>
        <w:t xml:space="preserve">17. </w:t>
      </w:r>
      <w:r w:rsidR="003A72BC" w:rsidRPr="00DB5BAE">
        <w:t>Ownership of tenders</w:t>
      </w:r>
      <w:bookmarkEnd w:id="23"/>
    </w:p>
    <w:p w14:paraId="65F72442" w14:textId="77777777" w:rsidR="003A72BC" w:rsidRPr="00DB5BAE" w:rsidRDefault="003A72BC" w:rsidP="00D87B34">
      <w:pPr>
        <w:rPr>
          <w:lang w:val="en-US"/>
        </w:rPr>
      </w:pPr>
      <w:r w:rsidRPr="00DB5BAE">
        <w:rPr>
          <w:lang w:val="en-US"/>
        </w:rPr>
        <w:t>The Contracting Authority retains ownership of all tenders received under this tender procedure. Consequently, tenderers have no right to have their tenders returned to them.</w:t>
      </w:r>
    </w:p>
    <w:p w14:paraId="5536E17A" w14:textId="1EC1AD8B" w:rsidR="003A72BC" w:rsidRPr="00DB5BAE" w:rsidRDefault="002C1E3C" w:rsidP="00C96724">
      <w:pPr>
        <w:pStyle w:val="Heading1"/>
      </w:pPr>
      <w:bookmarkStart w:id="24" w:name="_Toc42488087"/>
      <w:r>
        <w:t xml:space="preserve">18. </w:t>
      </w:r>
      <w:r w:rsidR="003A72BC" w:rsidRPr="00DB5BAE">
        <w:t>Joint venture or consortium</w:t>
      </w:r>
      <w:bookmarkEnd w:id="24"/>
    </w:p>
    <w:p w14:paraId="3574D592" w14:textId="7D0FC1E0" w:rsidR="003A72BC" w:rsidRPr="00DB5BAE" w:rsidRDefault="003A72BC" w:rsidP="002C1E3C">
      <w:pPr>
        <w:rPr>
          <w:lang w:val="en-US"/>
        </w:rPr>
      </w:pPr>
      <w:r w:rsidRPr="002C1E3C">
        <w:rPr>
          <w:b/>
          <w:lang w:val="en-US"/>
        </w:rPr>
        <w:t>18.1</w:t>
      </w:r>
      <w:r w:rsidR="002C1E3C" w:rsidRPr="002C1E3C">
        <w:rPr>
          <w:b/>
          <w:lang w:val="en-US"/>
        </w:rPr>
        <w:t>.</w:t>
      </w:r>
      <w:r w:rsidRPr="00DB5BAE">
        <w:rPr>
          <w:lang w:val="en-US"/>
        </w:rPr>
        <w:tab/>
        <w:t xml:space="preserve">If a tenderer is a joint venture or consortium of two or more persons, the tender must be </w:t>
      </w:r>
      <w:proofErr w:type="gramStart"/>
      <w:r w:rsidRPr="00DB5BAE">
        <w:rPr>
          <w:lang w:val="en-US"/>
        </w:rPr>
        <w:t>a single one</w:t>
      </w:r>
      <w:proofErr w:type="gramEnd"/>
      <w:r w:rsidRPr="00DB5BAE">
        <w:rPr>
          <w:lang w:val="en-US"/>
        </w:rPr>
        <w:t xml:space="preserv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p>
    <w:p w14:paraId="5E320A1E" w14:textId="41CD1579" w:rsidR="003A72BC" w:rsidRPr="00DB5BAE" w:rsidRDefault="003A72BC" w:rsidP="002C1E3C">
      <w:pPr>
        <w:rPr>
          <w:lang w:val="en-US"/>
        </w:rPr>
      </w:pPr>
      <w:r w:rsidRPr="002C1E3C">
        <w:rPr>
          <w:b/>
          <w:lang w:val="en-US"/>
        </w:rPr>
        <w:t>18.2</w:t>
      </w:r>
      <w:r w:rsidR="002C1E3C" w:rsidRPr="002C1E3C">
        <w:rPr>
          <w:b/>
          <w:lang w:val="en-US"/>
        </w:rPr>
        <w:t>.</w:t>
      </w:r>
      <w:r w:rsidRPr="00DB5BAE">
        <w:rPr>
          <w:lang w:val="en-US"/>
        </w:rPr>
        <w:tab/>
        <w:t xml:space="preserve">The tender may be signed by the representative of the joint venture or consortium only if it has been expressly so </w:t>
      </w:r>
      <w:r w:rsidR="002C1E3C" w:rsidRPr="00DB5BAE">
        <w:rPr>
          <w:lang w:val="en-US"/>
        </w:rPr>
        <w:t>authorized</w:t>
      </w:r>
      <w:r w:rsidRPr="00DB5BAE">
        <w:rPr>
          <w:lang w:val="en-US"/>
        </w:rPr>
        <w:t xml:space="preserve"> in writing by the members of the joint venture or consortium, and the </w:t>
      </w:r>
      <w:r w:rsidR="002C1E3C" w:rsidRPr="00DB5BAE">
        <w:rPr>
          <w:lang w:val="en-US"/>
        </w:rPr>
        <w:t>authorizing</w:t>
      </w:r>
      <w:r w:rsidRPr="00DB5BAE">
        <w:rPr>
          <w:lang w:val="en-US"/>
        </w:rPr>
        <w:t xml:space="preserve"> contract, notarial act or deed must be submitted to the Contracting Authority in accordance with point 11 of these Instructions to Tenderers. All signatures to the </w:t>
      </w:r>
      <w:r w:rsidR="002C1E3C" w:rsidRPr="00DB5BAE">
        <w:rPr>
          <w:lang w:val="en-US"/>
        </w:rPr>
        <w:t>authorizing</w:t>
      </w:r>
      <w:r w:rsidRPr="00DB5BAE">
        <w:rPr>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40BB1710" w14:textId="73BD8C4F" w:rsidR="003A72BC" w:rsidRPr="00DB5BAE" w:rsidRDefault="002C1E3C" w:rsidP="00C96724">
      <w:pPr>
        <w:pStyle w:val="Heading1"/>
      </w:pPr>
      <w:bookmarkStart w:id="25" w:name="_Toc42488088"/>
      <w:r>
        <w:t xml:space="preserve">19. </w:t>
      </w:r>
      <w:r w:rsidR="003A72BC" w:rsidRPr="00DB5BAE">
        <w:t>Opening of tenders</w:t>
      </w:r>
      <w:bookmarkEnd w:id="25"/>
    </w:p>
    <w:p w14:paraId="64708572" w14:textId="49BCAC3C" w:rsidR="003A72BC" w:rsidRPr="00DB5BAE" w:rsidRDefault="003A72BC" w:rsidP="002C1E3C">
      <w:pPr>
        <w:rPr>
          <w:lang w:val="en-US"/>
        </w:rPr>
      </w:pPr>
      <w:r w:rsidRPr="002C1E3C">
        <w:rPr>
          <w:b/>
          <w:lang w:val="en-US"/>
        </w:rPr>
        <w:t>19.1</w:t>
      </w:r>
      <w:r w:rsidR="002C1E3C" w:rsidRPr="002C1E3C">
        <w:rPr>
          <w:b/>
          <w:lang w:val="en-US"/>
        </w:rPr>
        <w:t>.</w:t>
      </w:r>
      <w:r w:rsidRPr="00DB5BAE">
        <w:rPr>
          <w:lang w:val="en-US"/>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4BBC4EF0" w14:textId="3F2D627E" w:rsidR="003A72BC" w:rsidRPr="00DB5BAE" w:rsidRDefault="003A72BC" w:rsidP="002C1E3C">
      <w:pPr>
        <w:pStyle w:val="NormalWeb"/>
        <w:spacing w:before="120" w:beforeAutospacing="0" w:after="200" w:afterAutospacing="0"/>
        <w:rPr>
          <w:lang w:val="en-US"/>
        </w:rPr>
      </w:pPr>
      <w:r w:rsidRPr="002C1E3C">
        <w:rPr>
          <w:b/>
          <w:lang w:val="en-US"/>
        </w:rPr>
        <w:t>19.2</w:t>
      </w:r>
      <w:r w:rsidR="002C1E3C" w:rsidRPr="002C1E3C">
        <w:rPr>
          <w:b/>
          <w:lang w:val="en-US"/>
        </w:rPr>
        <w:t>.</w:t>
      </w:r>
      <w:r w:rsidRPr="00DB5BAE">
        <w:rPr>
          <w:lang w:val="en-US"/>
        </w:rPr>
        <w:tab/>
        <w:t xml:space="preserve">The tenders will be opened in public session </w:t>
      </w:r>
      <w:r w:rsidRPr="00917225">
        <w:rPr>
          <w:lang w:val="en-US"/>
        </w:rPr>
        <w:t xml:space="preserve">on </w:t>
      </w:r>
      <w:r w:rsidR="00BB538D">
        <w:rPr>
          <w:lang w:val="en-US"/>
        </w:rPr>
        <w:t>1</w:t>
      </w:r>
      <w:r w:rsidR="00917225" w:rsidRPr="00917225">
        <w:rPr>
          <w:lang w:val="en-US"/>
        </w:rPr>
        <w:t>0.04.</w:t>
      </w:r>
      <w:bookmarkStart w:id="26" w:name="_GoBack"/>
      <w:r w:rsidR="00917225" w:rsidRPr="00917225">
        <w:rPr>
          <w:lang w:val="en-US"/>
        </w:rPr>
        <w:t>2020</w:t>
      </w:r>
      <w:bookmarkEnd w:id="26"/>
      <w:r w:rsidR="002C1E3C" w:rsidRPr="00917225">
        <w:rPr>
          <w:lang w:val="en-US"/>
        </w:rPr>
        <w:t xml:space="preserve">, local </w:t>
      </w:r>
      <w:r w:rsidR="002C1E3C">
        <w:rPr>
          <w:lang w:val="en-US"/>
        </w:rPr>
        <w:t>time 14:0</w:t>
      </w:r>
      <w:r w:rsidRPr="00DB5BAE">
        <w:rPr>
          <w:lang w:val="en-US"/>
        </w:rPr>
        <w:t xml:space="preserve">0 at </w:t>
      </w:r>
      <w:r w:rsidR="002C1E3C" w:rsidRPr="002C1E3C">
        <w:rPr>
          <w:rFonts w:ascii="Calibri" w:hAnsi="Calibri"/>
          <w:b/>
          <w:bCs/>
          <w:color w:val="000000"/>
          <w:sz w:val="22"/>
          <w:szCs w:val="22"/>
          <w:lang w:val="en-US"/>
        </w:rPr>
        <w:t>West University of Timisoara (</w:t>
      </w:r>
      <w:r w:rsidR="002C1E3C" w:rsidRPr="002C1E3C">
        <w:rPr>
          <w:rFonts w:ascii="Calibri" w:hAnsi="Calibri"/>
          <w:b/>
          <w:bCs/>
          <w:color w:val="000000"/>
          <w:sz w:val="22"/>
          <w:szCs w:val="22"/>
        </w:rPr>
        <w:t>Universitatea de Vest din Timișoara</w:t>
      </w:r>
      <w:r w:rsidR="002C1E3C" w:rsidRPr="002C1E3C">
        <w:rPr>
          <w:rFonts w:ascii="Calibri" w:hAnsi="Calibri"/>
          <w:b/>
          <w:bCs/>
          <w:color w:val="000000"/>
          <w:sz w:val="22"/>
          <w:szCs w:val="22"/>
          <w:lang w:val="en-US"/>
        </w:rPr>
        <w:t>), at Advanced Environmental Research Laboratories (</w:t>
      </w:r>
      <w:proofErr w:type="spellStart"/>
      <w:r w:rsidR="002C1E3C" w:rsidRPr="002C1E3C">
        <w:rPr>
          <w:rFonts w:ascii="Calibri" w:hAnsi="Calibri"/>
          <w:b/>
          <w:bCs/>
          <w:color w:val="000000"/>
          <w:sz w:val="22"/>
          <w:szCs w:val="22"/>
          <w:lang w:val="en-US"/>
        </w:rPr>
        <w:t>Laboratoarele</w:t>
      </w:r>
      <w:proofErr w:type="spellEnd"/>
      <w:r w:rsidR="002C1E3C" w:rsidRPr="002C1E3C">
        <w:rPr>
          <w:rFonts w:ascii="Calibri" w:hAnsi="Calibri"/>
          <w:b/>
          <w:bCs/>
          <w:color w:val="000000"/>
          <w:sz w:val="22"/>
          <w:szCs w:val="22"/>
          <w:lang w:val="en-US"/>
        </w:rPr>
        <w:t xml:space="preserve"> de </w:t>
      </w:r>
      <w:proofErr w:type="spellStart"/>
      <w:r w:rsidR="002C1E3C" w:rsidRPr="002C1E3C">
        <w:rPr>
          <w:rFonts w:ascii="Calibri" w:hAnsi="Calibri"/>
          <w:b/>
          <w:bCs/>
          <w:color w:val="000000"/>
          <w:sz w:val="22"/>
          <w:szCs w:val="22"/>
          <w:lang w:val="en-US"/>
        </w:rPr>
        <w:t>Cercetari</w:t>
      </w:r>
      <w:proofErr w:type="spellEnd"/>
      <w:r w:rsidR="002C1E3C" w:rsidRPr="002C1E3C">
        <w:rPr>
          <w:rFonts w:ascii="Calibri" w:hAnsi="Calibri"/>
          <w:b/>
          <w:bCs/>
          <w:color w:val="000000"/>
          <w:sz w:val="22"/>
          <w:szCs w:val="22"/>
          <w:lang w:val="en-US"/>
        </w:rPr>
        <w:t xml:space="preserve"> </w:t>
      </w:r>
      <w:proofErr w:type="spellStart"/>
      <w:r w:rsidR="002C1E3C" w:rsidRPr="002C1E3C">
        <w:rPr>
          <w:rFonts w:ascii="Calibri" w:hAnsi="Calibri"/>
          <w:b/>
          <w:bCs/>
          <w:color w:val="000000"/>
          <w:sz w:val="22"/>
          <w:szCs w:val="22"/>
          <w:lang w:val="en-US"/>
        </w:rPr>
        <w:t>Avansate</w:t>
      </w:r>
      <w:proofErr w:type="spellEnd"/>
      <w:r w:rsidR="002C1E3C" w:rsidRPr="002C1E3C">
        <w:rPr>
          <w:rFonts w:ascii="Calibri" w:hAnsi="Calibri"/>
          <w:b/>
          <w:bCs/>
          <w:color w:val="000000"/>
          <w:sz w:val="22"/>
          <w:szCs w:val="22"/>
          <w:lang w:val="en-US"/>
        </w:rPr>
        <w:t xml:space="preserve"> de </w:t>
      </w:r>
      <w:proofErr w:type="spellStart"/>
      <w:r w:rsidR="002C1E3C" w:rsidRPr="002C1E3C">
        <w:rPr>
          <w:rFonts w:ascii="Calibri" w:hAnsi="Calibri"/>
          <w:b/>
          <w:bCs/>
          <w:color w:val="000000"/>
          <w:sz w:val="22"/>
          <w:szCs w:val="22"/>
          <w:lang w:val="en-US"/>
        </w:rPr>
        <w:t>Mediu</w:t>
      </w:r>
      <w:proofErr w:type="spellEnd"/>
      <w:r w:rsidR="002C1E3C" w:rsidRPr="002C1E3C">
        <w:rPr>
          <w:rFonts w:ascii="Calibri" w:hAnsi="Calibri"/>
          <w:b/>
          <w:bCs/>
          <w:color w:val="000000"/>
          <w:sz w:val="22"/>
          <w:szCs w:val="22"/>
          <w:lang w:val="en-US"/>
        </w:rPr>
        <w:t xml:space="preserve">), Str. </w:t>
      </w:r>
      <w:proofErr w:type="spellStart"/>
      <w:r w:rsidR="002C1E3C" w:rsidRPr="002C1E3C">
        <w:rPr>
          <w:rFonts w:ascii="Calibri" w:hAnsi="Calibri"/>
          <w:b/>
          <w:bCs/>
          <w:color w:val="000000"/>
          <w:sz w:val="22"/>
          <w:szCs w:val="22"/>
          <w:lang w:val="en-US"/>
        </w:rPr>
        <w:t>Oituz</w:t>
      </w:r>
      <w:proofErr w:type="spellEnd"/>
      <w:r w:rsidR="002C1E3C" w:rsidRPr="002C1E3C">
        <w:rPr>
          <w:rFonts w:ascii="Calibri" w:hAnsi="Calibri"/>
          <w:b/>
          <w:bCs/>
          <w:color w:val="000000"/>
          <w:sz w:val="22"/>
          <w:szCs w:val="22"/>
          <w:lang w:val="en-US"/>
        </w:rPr>
        <w:t xml:space="preserve"> 4, 300086, Timisoara, ROMÂNIA</w:t>
      </w:r>
      <w:r w:rsidR="002C1E3C">
        <w:rPr>
          <w:rFonts w:ascii="Calibri" w:hAnsi="Calibri"/>
          <w:b/>
          <w:bCs/>
          <w:color w:val="000000"/>
          <w:sz w:val="22"/>
          <w:szCs w:val="22"/>
          <w:lang w:val="en-US"/>
        </w:rPr>
        <w:t xml:space="preserve"> (location of </w:t>
      </w:r>
      <w:r w:rsidR="00917225">
        <w:rPr>
          <w:rFonts w:ascii="Calibri" w:hAnsi="Calibri"/>
          <w:b/>
          <w:bCs/>
          <w:color w:val="000000"/>
          <w:sz w:val="22"/>
          <w:szCs w:val="22"/>
          <w:lang w:val="en-US"/>
        </w:rPr>
        <w:t xml:space="preserve">the </w:t>
      </w:r>
      <w:r w:rsidR="002C1E3C">
        <w:rPr>
          <w:rFonts w:ascii="Calibri" w:hAnsi="Calibri"/>
          <w:b/>
          <w:bCs/>
          <w:color w:val="000000"/>
          <w:sz w:val="22"/>
          <w:szCs w:val="22"/>
          <w:lang w:val="en-US"/>
        </w:rPr>
        <w:t>implementation of the project)</w:t>
      </w:r>
      <w:r w:rsidR="002C1E3C">
        <w:rPr>
          <w:rFonts w:ascii="Calibri" w:hAnsi="Calibri"/>
          <w:bCs/>
          <w:color w:val="000000"/>
          <w:sz w:val="22"/>
          <w:szCs w:val="22"/>
          <w:lang w:val="en-US"/>
        </w:rPr>
        <w:t xml:space="preserve">, </w:t>
      </w:r>
      <w:r w:rsidRPr="00DB5BAE">
        <w:rPr>
          <w:lang w:val="en-US"/>
        </w:rPr>
        <w:t xml:space="preserve">by the committee appointed for the </w:t>
      </w:r>
      <w:r w:rsidR="00917225">
        <w:rPr>
          <w:lang w:val="en-US"/>
        </w:rPr>
        <w:t>evaluation</w:t>
      </w:r>
      <w:r w:rsidRPr="00DB5BAE">
        <w:rPr>
          <w:lang w:val="en-US"/>
        </w:rPr>
        <w:t>. The committee will draw up minutes of the meeting, which will be available on request.</w:t>
      </w:r>
    </w:p>
    <w:p w14:paraId="122D35F1" w14:textId="1280A19E" w:rsidR="003A72BC" w:rsidRPr="00DB5BAE" w:rsidRDefault="003A72BC" w:rsidP="002C1E3C">
      <w:pPr>
        <w:rPr>
          <w:lang w:val="en-US"/>
        </w:rPr>
      </w:pPr>
      <w:r w:rsidRPr="002C1E3C">
        <w:rPr>
          <w:b/>
          <w:lang w:val="en-US"/>
        </w:rPr>
        <w:t>19.3</w:t>
      </w:r>
      <w:r w:rsidR="002C1E3C" w:rsidRPr="002C1E3C">
        <w:rPr>
          <w:b/>
          <w:lang w:val="en-US"/>
        </w:rPr>
        <w:t>.</w:t>
      </w:r>
      <w:r w:rsidRPr="00DB5BAE">
        <w:rPr>
          <w:lang w:val="en-US"/>
        </w:rPr>
        <w:tab/>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6B7B0F7A" w14:textId="6BC4D88D" w:rsidR="003A72BC" w:rsidRPr="00DB5BAE" w:rsidRDefault="003A72BC" w:rsidP="002C1E3C">
      <w:pPr>
        <w:rPr>
          <w:lang w:val="en-US"/>
        </w:rPr>
      </w:pPr>
      <w:r w:rsidRPr="002C1E3C">
        <w:rPr>
          <w:b/>
          <w:lang w:val="en-US"/>
        </w:rPr>
        <w:t>19.4</w:t>
      </w:r>
      <w:r w:rsidR="002C1E3C" w:rsidRPr="002C1E3C">
        <w:rPr>
          <w:b/>
          <w:lang w:val="en-US"/>
        </w:rPr>
        <w:t>.</w:t>
      </w:r>
      <w:r w:rsidRPr="00DB5BAE">
        <w:rPr>
          <w:lang w:val="en-US"/>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6B0DAC9C" w14:textId="79B4953A" w:rsidR="003A72BC" w:rsidRPr="00DB5BAE" w:rsidRDefault="003A72BC" w:rsidP="002C1E3C">
      <w:pPr>
        <w:rPr>
          <w:lang w:val="en-US"/>
        </w:rPr>
      </w:pPr>
      <w:r w:rsidRPr="002C1E3C">
        <w:rPr>
          <w:b/>
          <w:lang w:val="en-US"/>
        </w:rPr>
        <w:t>19.5</w:t>
      </w:r>
      <w:r w:rsidR="002C1E3C" w:rsidRPr="002C1E3C">
        <w:rPr>
          <w:b/>
          <w:lang w:val="en-US"/>
        </w:rPr>
        <w:t>.</w:t>
      </w:r>
      <w:r w:rsidRPr="00DB5BAE">
        <w:rPr>
          <w:lang w:val="en-US"/>
        </w:rPr>
        <w:tab/>
        <w:t xml:space="preserve">Any attempt by tenderers to influence the evaluation committee in the process of examination, clarification, evaluation and comparison of tenders, to obtain information on how the procedure is progressing </w:t>
      </w:r>
      <w:r w:rsidRPr="00DB5BAE">
        <w:rPr>
          <w:lang w:val="en-US"/>
        </w:rPr>
        <w:lastRenderedPageBreak/>
        <w:t>or to influence the Contracting Authority in its decision concerning the award of the contract will result in the immediate rejection of their tenders.</w:t>
      </w:r>
    </w:p>
    <w:p w14:paraId="06A3CF17" w14:textId="30A6C057" w:rsidR="003A72BC" w:rsidRPr="00DB5BAE" w:rsidRDefault="003A72BC" w:rsidP="002C1E3C">
      <w:pPr>
        <w:rPr>
          <w:lang w:val="en-US"/>
        </w:rPr>
      </w:pPr>
      <w:r w:rsidRPr="00613B11">
        <w:rPr>
          <w:b/>
          <w:lang w:val="en-US"/>
        </w:rPr>
        <w:t>19.6</w:t>
      </w:r>
      <w:r w:rsidR="00613B11" w:rsidRPr="00613B11">
        <w:rPr>
          <w:b/>
          <w:lang w:val="en-US"/>
        </w:rPr>
        <w:t>.</w:t>
      </w:r>
      <w:r w:rsidRPr="00DB5BAE">
        <w:rPr>
          <w:lang w:val="en-US"/>
        </w:rPr>
        <w:tab/>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554C66EB" w14:textId="082D8F11" w:rsidR="003A72BC" w:rsidRPr="00DB5BAE" w:rsidRDefault="00613B11" w:rsidP="00C96724">
      <w:pPr>
        <w:pStyle w:val="Heading1"/>
      </w:pPr>
      <w:bookmarkStart w:id="27" w:name="_Toc42488089"/>
      <w:r>
        <w:t xml:space="preserve">20. </w:t>
      </w:r>
      <w:r w:rsidR="003A72BC" w:rsidRPr="00DB5BAE">
        <w:t>Evaluation of tenders</w:t>
      </w:r>
      <w:bookmarkEnd w:id="27"/>
    </w:p>
    <w:p w14:paraId="6F151CBC" w14:textId="34A345AD" w:rsidR="003A72BC" w:rsidRPr="00613B11" w:rsidRDefault="003A72BC" w:rsidP="00613B11">
      <w:pPr>
        <w:rPr>
          <w:b/>
          <w:lang w:val="en-US"/>
        </w:rPr>
      </w:pPr>
      <w:r w:rsidRPr="00613B11">
        <w:rPr>
          <w:b/>
          <w:lang w:val="en-US"/>
        </w:rPr>
        <w:t>20.1</w:t>
      </w:r>
      <w:r w:rsidR="00613B11" w:rsidRPr="00613B11">
        <w:rPr>
          <w:b/>
          <w:lang w:val="en-US"/>
        </w:rPr>
        <w:t>.</w:t>
      </w:r>
      <w:r w:rsidRPr="00DB5BAE">
        <w:rPr>
          <w:lang w:val="en-US"/>
        </w:rPr>
        <w:tab/>
      </w:r>
      <w:r w:rsidRPr="00613B11">
        <w:rPr>
          <w:b/>
          <w:lang w:val="en-US"/>
        </w:rPr>
        <w:t>Examination of the administrative conformity of tenders</w:t>
      </w:r>
    </w:p>
    <w:p w14:paraId="17FC508F" w14:textId="77777777" w:rsidR="003A72BC" w:rsidRPr="00DB5BAE" w:rsidRDefault="003A72BC" w:rsidP="00613B11">
      <w:pPr>
        <w:rPr>
          <w:lang w:val="en-US"/>
        </w:rPr>
      </w:pPr>
      <w:r w:rsidRPr="00DB5BAE">
        <w:rPr>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45AB45F5" w14:textId="77777777" w:rsidR="003A72BC" w:rsidRPr="00DB5BAE" w:rsidRDefault="003A72BC" w:rsidP="00613B11">
      <w:pPr>
        <w:rPr>
          <w:lang w:val="en-US"/>
        </w:rPr>
      </w:pPr>
      <w:r w:rsidRPr="00DB5BAE">
        <w:rPr>
          <w:lang w:val="en-US"/>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56A790D5" w14:textId="77777777" w:rsidR="003A72BC" w:rsidRPr="00DB5BAE" w:rsidRDefault="003A72BC" w:rsidP="00613B11">
      <w:pPr>
        <w:rPr>
          <w:lang w:val="en-US"/>
        </w:rPr>
      </w:pPr>
      <w:r w:rsidRPr="00DB5BAE">
        <w:rPr>
          <w:lang w:val="en-US"/>
        </w:rPr>
        <w:t>If a tender does not comply with the tender dossier, it will be rejected immediately and may not subsequently be made to comply by correcting it or withdrawing the departure or restriction.</w:t>
      </w:r>
    </w:p>
    <w:p w14:paraId="756C2A7F" w14:textId="76B4C866" w:rsidR="003A72BC" w:rsidRPr="00613B11" w:rsidRDefault="003A72BC" w:rsidP="00613B11">
      <w:pPr>
        <w:rPr>
          <w:b/>
          <w:lang w:val="en-US"/>
        </w:rPr>
      </w:pPr>
      <w:r w:rsidRPr="00613B11">
        <w:rPr>
          <w:b/>
          <w:lang w:val="en-US"/>
        </w:rPr>
        <w:t>20.2</w:t>
      </w:r>
      <w:r w:rsidR="00613B11" w:rsidRPr="00613B11">
        <w:rPr>
          <w:b/>
          <w:lang w:val="en-US"/>
        </w:rPr>
        <w:t>.</w:t>
      </w:r>
      <w:r w:rsidRPr="00613B11">
        <w:rPr>
          <w:b/>
          <w:lang w:val="en-US"/>
        </w:rPr>
        <w:tab/>
        <w:t>Technical evaluation</w:t>
      </w:r>
    </w:p>
    <w:p w14:paraId="51A73249" w14:textId="09427485" w:rsidR="003A72BC" w:rsidRPr="00DB5BAE" w:rsidRDefault="003A72BC" w:rsidP="00613B11">
      <w:pPr>
        <w:rPr>
          <w:lang w:val="en-US"/>
        </w:rPr>
      </w:pPr>
      <w:bookmarkStart w:id="28" w:name="_Ref500330647"/>
      <w:r w:rsidRPr="00DB5BAE">
        <w:rPr>
          <w:lang w:val="en-US"/>
        </w:rPr>
        <w:t xml:space="preserve">After </w:t>
      </w:r>
      <w:r w:rsidR="00613B11" w:rsidRPr="00DB5BAE">
        <w:rPr>
          <w:lang w:val="en-US"/>
        </w:rPr>
        <w:t>analyzing</w:t>
      </w:r>
      <w:r w:rsidRPr="00DB5BAE">
        <w:rPr>
          <w:lang w:val="en-US"/>
        </w:rPr>
        <w:t xml:space="preserve"> the tenders deemed to comply in administrative terms, the evaluation committee will rule on the technical admissibility of each tender, classifying it as technically compliant or non-compliant.</w:t>
      </w:r>
    </w:p>
    <w:p w14:paraId="164106F2" w14:textId="77777777" w:rsidR="003A72BC" w:rsidRPr="00DB5BAE" w:rsidRDefault="003A72BC" w:rsidP="00613B11">
      <w:pPr>
        <w:rPr>
          <w:lang w:val="en-US"/>
        </w:rPr>
      </w:pPr>
      <w:r w:rsidRPr="00DB5BAE">
        <w:rPr>
          <w:lang w:val="en-US"/>
        </w:rPr>
        <w:t>The minimum qualifications required (see selection criteria in Contract notice point 16) are to be evaluated at the start of this stage.</w:t>
      </w:r>
    </w:p>
    <w:bookmarkEnd w:id="28"/>
    <w:p w14:paraId="57B41F05" w14:textId="77777777" w:rsidR="003A72BC" w:rsidRPr="00DB5BAE" w:rsidRDefault="003A72BC" w:rsidP="00613B11">
      <w:pPr>
        <w:rPr>
          <w:lang w:val="en-US"/>
        </w:rPr>
      </w:pPr>
      <w:r w:rsidRPr="00DB5BAE">
        <w:rPr>
          <w:lang w:val="en-US"/>
        </w:rPr>
        <w:t>Where contracts include after-sales service and/or training, the technical quality of such services will also be evaluated by using yes/no criteria as specified in the tender dossier.</w:t>
      </w:r>
    </w:p>
    <w:p w14:paraId="3416E9FE" w14:textId="557CC86A" w:rsidR="003A72BC" w:rsidRPr="00DB5BAE" w:rsidRDefault="003A72BC" w:rsidP="00613B11">
      <w:pPr>
        <w:rPr>
          <w:lang w:val="en-US"/>
        </w:rPr>
      </w:pPr>
      <w:r w:rsidRPr="00613B11">
        <w:rPr>
          <w:b/>
          <w:lang w:val="en-US"/>
        </w:rPr>
        <w:t>20.3</w:t>
      </w:r>
      <w:r w:rsidR="00613B11" w:rsidRPr="00613B11">
        <w:rPr>
          <w:b/>
          <w:lang w:val="en-US"/>
        </w:rPr>
        <w:t>.</w:t>
      </w:r>
      <w:r w:rsidRPr="00DB5BAE">
        <w:rPr>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E1B93AE" w14:textId="2F2169E5" w:rsidR="003A72BC" w:rsidRPr="00613B11" w:rsidRDefault="003A72BC" w:rsidP="00613B11">
      <w:pPr>
        <w:rPr>
          <w:b/>
          <w:lang w:val="en-US"/>
        </w:rPr>
      </w:pPr>
      <w:r w:rsidRPr="00613B11">
        <w:rPr>
          <w:b/>
          <w:lang w:val="en-US"/>
        </w:rPr>
        <w:t>20.4</w:t>
      </w:r>
      <w:r w:rsidR="00613B11" w:rsidRPr="00613B11">
        <w:rPr>
          <w:b/>
          <w:lang w:val="en-US"/>
        </w:rPr>
        <w:t>.</w:t>
      </w:r>
      <w:r w:rsidRPr="00613B11">
        <w:rPr>
          <w:b/>
          <w:lang w:val="en-US"/>
        </w:rPr>
        <w:tab/>
        <w:t>Financial evaluation</w:t>
      </w:r>
    </w:p>
    <w:p w14:paraId="32FD7552" w14:textId="77777777" w:rsidR="003A72BC" w:rsidRPr="00DB5BAE" w:rsidRDefault="003A72BC" w:rsidP="00613B11">
      <w:pPr>
        <w:rPr>
          <w:lang w:val="en-US"/>
        </w:rPr>
      </w:pPr>
      <w:r w:rsidRPr="00DB5BAE">
        <w:rPr>
          <w:lang w:val="en-US"/>
        </w:rPr>
        <w:lastRenderedPageBreak/>
        <w:t>a)</w:t>
      </w:r>
      <w:r w:rsidRPr="00DB5BAE">
        <w:rPr>
          <w:lang w:val="en-US"/>
        </w:rPr>
        <w:tab/>
        <w:t>Tenders found to be technically compliant will be checked for any arithmetical errors in computation and summation. Errors will be corrected by the evaluation committee as follows:</w:t>
      </w:r>
    </w:p>
    <w:p w14:paraId="408A8F0D" w14:textId="77777777" w:rsidR="003A72BC" w:rsidRPr="00DB5BAE" w:rsidRDefault="003A72BC" w:rsidP="00613B11">
      <w:pPr>
        <w:rPr>
          <w:lang w:val="en-US"/>
        </w:rPr>
      </w:pPr>
      <w:r w:rsidRPr="00DB5BAE">
        <w:rPr>
          <w:lang w:val="en-US"/>
        </w:rPr>
        <w:t>-</w:t>
      </w:r>
      <w:r w:rsidRPr="00DB5BAE">
        <w:rPr>
          <w:lang w:val="en-US"/>
        </w:rPr>
        <w:tab/>
        <w:t xml:space="preserve">where there is a discrepancy between amounts in figures and in words, the amount in words will be the amount </w:t>
      </w:r>
      <w:proofErr w:type="gramStart"/>
      <w:r w:rsidRPr="00DB5BAE">
        <w:rPr>
          <w:lang w:val="en-US"/>
        </w:rPr>
        <w:t>taken into account</w:t>
      </w:r>
      <w:proofErr w:type="gramEnd"/>
      <w:r w:rsidRPr="00DB5BAE">
        <w:rPr>
          <w:lang w:val="en-US"/>
        </w:rPr>
        <w:t>;</w:t>
      </w:r>
    </w:p>
    <w:p w14:paraId="1E9EAB69" w14:textId="77777777" w:rsidR="003A72BC" w:rsidRPr="00DB5BAE" w:rsidRDefault="003A72BC" w:rsidP="00613B11">
      <w:pPr>
        <w:rPr>
          <w:lang w:val="en-US"/>
        </w:rPr>
      </w:pPr>
      <w:r w:rsidRPr="00DB5BAE">
        <w:rPr>
          <w:lang w:val="en-US"/>
        </w:rPr>
        <w:t>-</w:t>
      </w:r>
      <w:r w:rsidRPr="00DB5BAE">
        <w:rPr>
          <w:lang w:val="en-US"/>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DB5BAE">
        <w:rPr>
          <w:lang w:val="en-US"/>
        </w:rPr>
        <w:t>taken into account</w:t>
      </w:r>
      <w:proofErr w:type="gramEnd"/>
      <w:r w:rsidRPr="00DB5BAE">
        <w:rPr>
          <w:lang w:val="en-US"/>
        </w:rPr>
        <w:t>.</w:t>
      </w:r>
    </w:p>
    <w:p w14:paraId="48228BC6" w14:textId="77777777" w:rsidR="003A72BC" w:rsidRPr="00DB5BAE" w:rsidRDefault="003A72BC" w:rsidP="00613B11">
      <w:pPr>
        <w:rPr>
          <w:lang w:val="en-US"/>
        </w:rPr>
      </w:pPr>
      <w:r w:rsidRPr="00DB5BAE">
        <w:rPr>
          <w:lang w:val="en-US"/>
        </w:rPr>
        <w:t>b)</w:t>
      </w:r>
      <w:r w:rsidRPr="00DB5BAE">
        <w:rPr>
          <w:lang w:val="en-US"/>
        </w:rPr>
        <w:tab/>
        <w:t>Amounts corrected in this way will be binding on the tenderer. If the tenderer does not accept them, its tender will be rejected.</w:t>
      </w:r>
    </w:p>
    <w:p w14:paraId="70590058" w14:textId="77777777" w:rsidR="003A72BC" w:rsidRPr="00DB5BAE" w:rsidRDefault="003A72BC" w:rsidP="00613B11">
      <w:pPr>
        <w:rPr>
          <w:lang w:val="en-US"/>
        </w:rPr>
      </w:pPr>
      <w:r w:rsidRPr="00DB5BAE">
        <w:rPr>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w:t>
      </w:r>
      <w:proofErr w:type="gramStart"/>
      <w:r w:rsidRPr="00DB5BAE">
        <w:rPr>
          <w:lang w:val="en-US"/>
        </w:rPr>
        <w:t>on the basis of</w:t>
      </w:r>
      <w:proofErr w:type="gramEnd"/>
      <w:r w:rsidRPr="00DB5BAE">
        <w:rPr>
          <w:lang w:val="en-US"/>
        </w:rPr>
        <w:t xml:space="preserve"> the lowest total cost, including additional costs.</w:t>
      </w:r>
    </w:p>
    <w:p w14:paraId="216F32DF" w14:textId="77777777" w:rsidR="003A72BC" w:rsidRPr="005643E6" w:rsidRDefault="003A72BC" w:rsidP="00613B11">
      <w:pPr>
        <w:rPr>
          <w:b/>
          <w:lang w:val="en-US"/>
        </w:rPr>
      </w:pPr>
      <w:r w:rsidRPr="005643E6">
        <w:rPr>
          <w:b/>
          <w:lang w:val="en-US"/>
        </w:rPr>
        <w:t>20.5</w:t>
      </w:r>
      <w:r w:rsidRPr="005643E6">
        <w:rPr>
          <w:b/>
          <w:lang w:val="en-US"/>
        </w:rPr>
        <w:tab/>
        <w:t>Variant solutions</w:t>
      </w:r>
    </w:p>
    <w:p w14:paraId="41FF5513" w14:textId="77777777" w:rsidR="003A72BC" w:rsidRPr="00DB5BAE" w:rsidRDefault="003A72BC" w:rsidP="00613B11">
      <w:pPr>
        <w:rPr>
          <w:lang w:val="en-US"/>
        </w:rPr>
      </w:pPr>
      <w:r w:rsidRPr="005643E6">
        <w:rPr>
          <w:lang w:val="en-US"/>
        </w:rPr>
        <w:t>Variant solutions will not be taken into consideration.</w:t>
      </w:r>
    </w:p>
    <w:p w14:paraId="7B6F9F5A" w14:textId="77777777" w:rsidR="003A72BC" w:rsidRPr="005643E6" w:rsidRDefault="003A72BC" w:rsidP="00613B11">
      <w:pPr>
        <w:rPr>
          <w:b/>
          <w:lang w:val="en-US"/>
        </w:rPr>
      </w:pPr>
      <w:r w:rsidRPr="005643E6">
        <w:rPr>
          <w:b/>
          <w:lang w:val="en-US"/>
        </w:rPr>
        <w:t>20.6</w:t>
      </w:r>
      <w:r w:rsidRPr="005643E6">
        <w:rPr>
          <w:b/>
          <w:lang w:val="en-US"/>
        </w:rPr>
        <w:tab/>
        <w:t>Award criteria</w:t>
      </w:r>
    </w:p>
    <w:p w14:paraId="04413DA7" w14:textId="77777777" w:rsidR="003A72BC" w:rsidRPr="00DB5BAE" w:rsidRDefault="003A72BC" w:rsidP="00613B11">
      <w:pPr>
        <w:rPr>
          <w:lang w:val="en-US"/>
        </w:rPr>
      </w:pPr>
      <w:r w:rsidRPr="005643E6">
        <w:rPr>
          <w:lang w:val="en-US"/>
        </w:rPr>
        <w:t>The sole award criterion will be the price. The contract will be awarded to the lowest compliant tender.</w:t>
      </w:r>
    </w:p>
    <w:p w14:paraId="55E6F02E" w14:textId="694EDBA7" w:rsidR="003A72BC" w:rsidRPr="00DB5BAE" w:rsidRDefault="0094734C" w:rsidP="00C96724">
      <w:pPr>
        <w:pStyle w:val="Heading1"/>
      </w:pPr>
      <w:bookmarkStart w:id="29" w:name="_Toc41467298"/>
      <w:bookmarkStart w:id="30" w:name="_Toc42488090"/>
      <w:r>
        <w:t xml:space="preserve">21. </w:t>
      </w:r>
      <w:r w:rsidR="003A72BC" w:rsidRPr="00DB5BAE">
        <w:t>Signature of the contract and performance guarantee</w:t>
      </w:r>
      <w:bookmarkStart w:id="31" w:name="_Ref500418776"/>
      <w:bookmarkEnd w:id="29"/>
      <w:bookmarkEnd w:id="30"/>
    </w:p>
    <w:p w14:paraId="1798FD9D" w14:textId="2EC43916" w:rsidR="003A72BC" w:rsidRPr="00DB5BAE" w:rsidRDefault="003A72BC" w:rsidP="0094734C">
      <w:pPr>
        <w:rPr>
          <w:lang w:val="en-US"/>
        </w:rPr>
      </w:pPr>
      <w:r w:rsidRPr="0094734C">
        <w:rPr>
          <w:b/>
          <w:lang w:val="en-US"/>
        </w:rPr>
        <w:t>21.1</w:t>
      </w:r>
      <w:r w:rsidR="0094734C" w:rsidRPr="0094734C">
        <w:rPr>
          <w:b/>
          <w:lang w:val="en-US"/>
        </w:rPr>
        <w:t>.</w:t>
      </w:r>
      <w:r w:rsidRPr="00DB5BAE">
        <w:rPr>
          <w:lang w:val="en-US"/>
        </w:rPr>
        <w:tab/>
        <w:t xml:space="preserve">The successful tenderer will be informed in writing that its tender has been accepted (notification of award). Before the Contracting Authority signs the contract with the successful tenderer, the successful tenderer must provide the </w:t>
      </w:r>
      <w:r w:rsidRPr="00DB5BAE">
        <w:rPr>
          <w:b/>
          <w:lang w:val="en-US"/>
        </w:rPr>
        <w:t>documentary proof</w:t>
      </w:r>
      <w:r w:rsidRPr="00DB5BAE">
        <w:rPr>
          <w:lang w:val="en-US"/>
        </w:rPr>
        <w:t xml:space="preserve"> or statements required under the law of the country in which the company (or each of the companies in case of a consortium) is effectively established, to show that it is not in any of the exclusion situations listed in section 2.3.3 of the Practical Guide. This evidence or these documents or statements must carry a date not earlier than one year before the date of submission of the tender. In addition, a statement must be provided that the situations described in these documents have not changed since then.</w:t>
      </w:r>
    </w:p>
    <w:p w14:paraId="63462EE6" w14:textId="38CEC8A0" w:rsidR="003A72BC" w:rsidRPr="00DB5BAE" w:rsidRDefault="003A72BC" w:rsidP="0094734C">
      <w:pPr>
        <w:rPr>
          <w:lang w:val="en-US"/>
        </w:rPr>
      </w:pPr>
      <w:r w:rsidRPr="0094734C">
        <w:rPr>
          <w:b/>
          <w:lang w:val="en-US"/>
        </w:rPr>
        <w:t>21.2</w:t>
      </w:r>
      <w:r w:rsidR="0094734C" w:rsidRPr="0094734C">
        <w:rPr>
          <w:b/>
          <w:lang w:val="en-US"/>
        </w:rPr>
        <w:t>.</w:t>
      </w:r>
      <w:r w:rsidRPr="00DB5BAE">
        <w:rPr>
          <w:lang w:val="en-US"/>
        </w:rPr>
        <w:tab/>
        <w:t>The successful tenderer must also provide evidence of financial and economic standing and technical and professional capacity according to the selection criteria for this call for tenders specified in the contract notice, point 16. The documentary proofs required are listed in section 2.4.11 of the Practical Guide.</w:t>
      </w:r>
    </w:p>
    <w:p w14:paraId="1682169B" w14:textId="6FF36E79" w:rsidR="003A72BC" w:rsidRPr="00DB5BAE" w:rsidRDefault="003A72BC" w:rsidP="0094734C">
      <w:pPr>
        <w:rPr>
          <w:lang w:val="en-US"/>
        </w:rPr>
      </w:pPr>
      <w:r w:rsidRPr="0094734C">
        <w:rPr>
          <w:b/>
          <w:lang w:val="en-US"/>
        </w:rPr>
        <w:t>21.3</w:t>
      </w:r>
      <w:r w:rsidR="0094734C" w:rsidRPr="0094734C">
        <w:rPr>
          <w:b/>
          <w:lang w:val="en-US"/>
        </w:rPr>
        <w:t>.</w:t>
      </w:r>
      <w:r w:rsidRPr="00DB5BAE">
        <w:rPr>
          <w:lang w:val="en-US"/>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w:t>
      </w:r>
      <w:r w:rsidRPr="00DB5BAE">
        <w:rPr>
          <w:lang w:val="en-US"/>
        </w:rPr>
        <w:lastRenderedPageBreak/>
        <w:t>considered null and void. In such a case, the Contracting Authority may award the tender to the next lowest tenderer or cancel the tender procedure.</w:t>
      </w:r>
    </w:p>
    <w:p w14:paraId="17AA051D" w14:textId="77777777" w:rsidR="003A72BC" w:rsidRPr="00DB5BAE" w:rsidRDefault="003A72BC" w:rsidP="0094734C">
      <w:pPr>
        <w:rPr>
          <w:lang w:val="en-US"/>
        </w:rPr>
      </w:pPr>
      <w:r w:rsidRPr="00DB5BAE">
        <w:rPr>
          <w:color w:val="000000"/>
          <w:lang w:val="en-US"/>
        </w:rPr>
        <w:t xml:space="preserve">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w:t>
      </w:r>
      <w:proofErr w:type="spellStart"/>
      <w:r w:rsidRPr="00DB5BAE">
        <w:rPr>
          <w:color w:val="000000"/>
          <w:lang w:val="en-US"/>
        </w:rPr>
        <w:t>honour</w:t>
      </w:r>
      <w:proofErr w:type="spellEnd"/>
      <w:r w:rsidRPr="00DB5BAE">
        <w:rPr>
          <w:color w:val="000000"/>
          <w:lang w:val="en-US"/>
        </w:rPr>
        <w:t xml:space="preserve"> that the documentary evidence has already been provided in a previous procurement procedure and confirm that his/her situation has not changed.</w:t>
      </w:r>
    </w:p>
    <w:p w14:paraId="7092E3FA" w14:textId="77777777" w:rsidR="003A72BC" w:rsidRPr="00DB5BAE" w:rsidRDefault="003A72BC" w:rsidP="0094734C">
      <w:pPr>
        <w:rPr>
          <w:color w:val="000000"/>
          <w:lang w:val="en-US"/>
        </w:rPr>
      </w:pPr>
      <w:r w:rsidRPr="00DB5BAE">
        <w:rPr>
          <w:color w:val="000000"/>
          <w:lang w:val="en-US"/>
        </w:rPr>
        <w:t>Documentary evidence of the financial and economic capacity and/or of the technical and professional capacity according to the selection criteria specified in point 16 of the contract notice shall be submitted. (See</w:t>
      </w:r>
      <w:r w:rsidRPr="00DB5BAE">
        <w:rPr>
          <w:lang w:val="en-US"/>
        </w:rPr>
        <w:t xml:space="preserve"> further point 2.4.11 of the Practical Guide).</w:t>
      </w:r>
      <w:r w:rsidRPr="00DB5BAE">
        <w:rPr>
          <w:color w:val="000000"/>
          <w:lang w:val="en-US"/>
        </w:rPr>
        <w:t xml:space="preserve"> </w:t>
      </w:r>
    </w:p>
    <w:p w14:paraId="4E40E1BC" w14:textId="77777777" w:rsidR="003A72BC" w:rsidRPr="00DB5BAE" w:rsidRDefault="003A72BC" w:rsidP="0094734C">
      <w:pPr>
        <w:rPr>
          <w:lang w:val="en-US"/>
        </w:rPr>
      </w:pPr>
      <w:r w:rsidRPr="00DB5BAE">
        <w:rPr>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A20C323" w14:textId="68E21BAE" w:rsidR="003A72BC" w:rsidRPr="00DB5BAE" w:rsidRDefault="003A72BC" w:rsidP="0094734C">
      <w:pPr>
        <w:rPr>
          <w:lang w:val="en-US"/>
        </w:rPr>
      </w:pPr>
      <w:r w:rsidRPr="0094734C">
        <w:rPr>
          <w:b/>
          <w:lang w:val="en-US"/>
        </w:rPr>
        <w:t>21.4</w:t>
      </w:r>
      <w:r w:rsidR="0094734C" w:rsidRPr="0094734C">
        <w:rPr>
          <w:b/>
          <w:lang w:val="en-US"/>
        </w:rPr>
        <w:t>.</w:t>
      </w:r>
      <w:r w:rsidRPr="00DB5BAE">
        <w:rPr>
          <w:lang w:val="en-US"/>
        </w:rPr>
        <w:t xml:space="preserve"> </w:t>
      </w:r>
      <w:r w:rsidRPr="00DB5BAE">
        <w:rPr>
          <w:lang w:val="en-US"/>
        </w:rPr>
        <w:tab/>
        <w:t>The Contracting Authority reserves the right to vary quantities specified in the tender by +/- 100</w:t>
      </w:r>
      <w:r w:rsidRPr="00DB5BAE">
        <w:rPr>
          <w:w w:val="50"/>
          <w:lang w:val="en-US"/>
        </w:rPr>
        <w:t> </w:t>
      </w:r>
      <w:r w:rsidRPr="00DB5BAE">
        <w:rPr>
          <w:lang w:val="en-US"/>
        </w:rPr>
        <w:t>% at the time of contracting and during the validity of the contract. The total value of the supplies may not, as a result of the variation rise or fall by more than 25</w:t>
      </w:r>
      <w:r w:rsidRPr="00DB5BAE">
        <w:rPr>
          <w:w w:val="50"/>
          <w:lang w:val="en-US"/>
        </w:rPr>
        <w:t> </w:t>
      </w:r>
      <w:r w:rsidRPr="00DB5BAE">
        <w:rPr>
          <w:lang w:val="en-US"/>
        </w:rPr>
        <w:t xml:space="preserve">% of the original financial offer in the tender. The unit prices quoted in the tender shall be used. </w:t>
      </w:r>
    </w:p>
    <w:p w14:paraId="45EAE763" w14:textId="454CC8A3" w:rsidR="003A72BC" w:rsidRPr="00DB5BAE" w:rsidRDefault="003A72BC" w:rsidP="0094734C">
      <w:pPr>
        <w:rPr>
          <w:lang w:val="en-US"/>
        </w:rPr>
      </w:pPr>
      <w:r w:rsidRPr="0094734C">
        <w:rPr>
          <w:b/>
          <w:lang w:val="en-US"/>
        </w:rPr>
        <w:t>21.5</w:t>
      </w:r>
      <w:r w:rsidR="0094734C" w:rsidRPr="0094734C">
        <w:rPr>
          <w:b/>
          <w:lang w:val="en-US"/>
        </w:rPr>
        <w:t>.</w:t>
      </w:r>
      <w:r w:rsidRPr="00DB5BAE">
        <w:rPr>
          <w:lang w:val="en-US"/>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bookmarkEnd w:id="31"/>
    <w:p w14:paraId="5FBB9A5A" w14:textId="2DB9FAAB" w:rsidR="003A72BC" w:rsidRPr="00DB5BAE" w:rsidRDefault="003A72BC" w:rsidP="0094734C">
      <w:pPr>
        <w:rPr>
          <w:lang w:val="en-US"/>
        </w:rPr>
      </w:pPr>
      <w:r w:rsidRPr="0094734C">
        <w:rPr>
          <w:b/>
          <w:lang w:val="en-US"/>
        </w:rPr>
        <w:t>21.6</w:t>
      </w:r>
      <w:r w:rsidR="0094734C" w:rsidRPr="0094734C">
        <w:rPr>
          <w:b/>
          <w:lang w:val="en-US"/>
        </w:rPr>
        <w:t>.</w:t>
      </w:r>
      <w:r w:rsidRPr="00DB5BAE">
        <w:rPr>
          <w:lang w:val="en-US"/>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7703F2CC" w14:textId="424A70C5" w:rsidR="00123B33" w:rsidRPr="004C2B96" w:rsidRDefault="003A72BC" w:rsidP="0094734C">
      <w:pPr>
        <w:rPr>
          <w:lang w:val="en-US"/>
        </w:rPr>
      </w:pPr>
      <w:r w:rsidRPr="0094734C">
        <w:rPr>
          <w:b/>
          <w:lang w:val="en-US"/>
        </w:rPr>
        <w:t>21.7</w:t>
      </w:r>
      <w:r w:rsidR="0094734C" w:rsidRPr="0094734C">
        <w:rPr>
          <w:b/>
          <w:lang w:val="en-US"/>
        </w:rPr>
        <w:t>.</w:t>
      </w:r>
      <w:r w:rsidRPr="00DB5BAE">
        <w:rPr>
          <w:lang w:val="en-US"/>
        </w:rPr>
        <w:tab/>
      </w:r>
      <w:r w:rsidR="00123B33" w:rsidRPr="00123B33">
        <w:rPr>
          <w:lang w:val="en-US"/>
        </w:rPr>
        <w:t xml:space="preserve">The performance guarantee referred to in the General Conditions is set at </w:t>
      </w:r>
      <w:r w:rsidR="00123B33">
        <w:rPr>
          <w:lang w:val="en-US"/>
        </w:rPr>
        <w:t>5</w:t>
      </w:r>
      <w:r w:rsidR="00123B33" w:rsidRPr="00123B33">
        <w:rPr>
          <w:lang w:val="en-US"/>
        </w:rPr>
        <w:t xml:space="preserve">%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For contracts of € 150.000 or below, </w:t>
      </w:r>
      <w:proofErr w:type="gramStart"/>
      <w:r w:rsidR="00123B33" w:rsidRPr="00123B33">
        <w:rPr>
          <w:lang w:val="en-US"/>
        </w:rPr>
        <w:t>on the basis of</w:t>
      </w:r>
      <w:proofErr w:type="gramEnd"/>
      <w:r w:rsidR="00123B33" w:rsidRPr="00123B33">
        <w:rPr>
          <w:lang w:val="en-US"/>
        </w:rPr>
        <w:t xml:space="preserve"> objective criteria such as the type and value of the contract</w:t>
      </w:r>
      <w:r w:rsidR="00123B33">
        <w:rPr>
          <w:lang w:val="en-US"/>
        </w:rPr>
        <w:t xml:space="preserve"> (</w:t>
      </w:r>
      <w:r w:rsidR="00123B33" w:rsidRPr="00123B33">
        <w:rPr>
          <w:lang w:val="en-US"/>
        </w:rPr>
        <w:t>depending on the number of lots won by potential suppliers</w:t>
      </w:r>
      <w:r w:rsidR="00123B33">
        <w:rPr>
          <w:lang w:val="en-US"/>
        </w:rPr>
        <w:t>)</w:t>
      </w:r>
      <w:r w:rsidR="00123B33" w:rsidRPr="00123B33">
        <w:rPr>
          <w:lang w:val="en-US"/>
        </w:rPr>
        <w:t>, the Contracting Authority may decide not to require such a guarantee.</w:t>
      </w:r>
    </w:p>
    <w:p w14:paraId="7176B345" w14:textId="3CD510E8" w:rsidR="003A72BC" w:rsidRPr="00BB538D" w:rsidRDefault="00123B33" w:rsidP="00C96724">
      <w:pPr>
        <w:pStyle w:val="Heading1"/>
      </w:pPr>
      <w:bookmarkStart w:id="32" w:name="_Toc41467299"/>
      <w:bookmarkStart w:id="33" w:name="_Toc42488091"/>
      <w:r w:rsidRPr="004C2B96">
        <w:t xml:space="preserve">22. </w:t>
      </w:r>
      <w:r w:rsidR="003A72BC" w:rsidRPr="004C2B96">
        <w:t xml:space="preserve">Tender </w:t>
      </w:r>
      <w:r w:rsidR="003A72BC" w:rsidRPr="00BB538D">
        <w:t>guarantee</w:t>
      </w:r>
      <w:bookmarkEnd w:id="32"/>
      <w:bookmarkEnd w:id="33"/>
    </w:p>
    <w:p w14:paraId="160A554F" w14:textId="4B284AAC" w:rsidR="00F84F0B" w:rsidRPr="00BB538D" w:rsidRDefault="00205F79" w:rsidP="00F84F0B">
      <w:pPr>
        <w:rPr>
          <w:dstrike/>
          <w:lang w:val="en-US"/>
        </w:rPr>
      </w:pPr>
      <w:r w:rsidRPr="00BB538D">
        <w:rPr>
          <w:lang w:val="en-US"/>
        </w:rPr>
        <w:t>No</w:t>
      </w:r>
      <w:r w:rsidR="00F84F0B" w:rsidRPr="00BB538D">
        <w:rPr>
          <w:lang w:val="en-US"/>
        </w:rPr>
        <w:t xml:space="preserve"> tender guarantee </w:t>
      </w:r>
      <w:r w:rsidRPr="00BB538D">
        <w:rPr>
          <w:lang w:val="en-US"/>
        </w:rPr>
        <w:t xml:space="preserve">is required </w:t>
      </w:r>
    </w:p>
    <w:p w14:paraId="2CC186D1" w14:textId="3A96F38F" w:rsidR="003A72BC" w:rsidRPr="004C2B96" w:rsidRDefault="00F84F0B" w:rsidP="00F84F0B">
      <w:pPr>
        <w:pStyle w:val="Heading1"/>
      </w:pPr>
      <w:bookmarkStart w:id="34" w:name="_Toc41467300"/>
      <w:bookmarkStart w:id="35" w:name="_Toc42488092"/>
      <w:r w:rsidRPr="004C2B96">
        <w:lastRenderedPageBreak/>
        <w:t xml:space="preserve">23. </w:t>
      </w:r>
      <w:r w:rsidR="003A72BC" w:rsidRPr="004C2B96">
        <w:t>Ethics clauses</w:t>
      </w:r>
      <w:bookmarkEnd w:id="34"/>
      <w:bookmarkEnd w:id="35"/>
    </w:p>
    <w:p w14:paraId="175DBC19" w14:textId="4C0A771C" w:rsidR="003A72BC" w:rsidRPr="008F19B1" w:rsidRDefault="003A72BC" w:rsidP="00F84F0B">
      <w:pPr>
        <w:rPr>
          <w:lang w:val="en-US"/>
        </w:rPr>
      </w:pPr>
      <w:r w:rsidRPr="000E44CE">
        <w:rPr>
          <w:b/>
          <w:lang w:val="en-US"/>
        </w:rPr>
        <w:t>23.1</w:t>
      </w:r>
      <w:r w:rsidR="00F84F0B" w:rsidRPr="000E44CE">
        <w:rPr>
          <w:b/>
          <w:lang w:val="en-US"/>
        </w:rPr>
        <w:t>.</w:t>
      </w:r>
      <w:r w:rsidRPr="00DB5BAE">
        <w:rPr>
          <w:lang w:val="en-US"/>
        </w:rPr>
        <w:tab/>
        <w:t xml:space="preserve">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their candidacy or tender and </w:t>
      </w:r>
      <w:r w:rsidRPr="008F19B1">
        <w:rPr>
          <w:lang w:val="en-US"/>
        </w:rPr>
        <w:t>may result in administrative penalties.</w:t>
      </w:r>
    </w:p>
    <w:p w14:paraId="0205B918" w14:textId="007E0F1E" w:rsidR="003A72BC" w:rsidRPr="008F19B1" w:rsidRDefault="003A72BC" w:rsidP="00F84F0B">
      <w:pPr>
        <w:rPr>
          <w:lang w:val="en-US"/>
        </w:rPr>
      </w:pPr>
      <w:r w:rsidRPr="008F19B1">
        <w:rPr>
          <w:b/>
          <w:lang w:val="en-US"/>
        </w:rPr>
        <w:t>23.2</w:t>
      </w:r>
      <w:r w:rsidR="000E44CE" w:rsidRPr="008F19B1">
        <w:rPr>
          <w:b/>
          <w:lang w:val="en-US"/>
        </w:rPr>
        <w:t>.</w:t>
      </w:r>
      <w:r w:rsidRPr="008F19B1">
        <w:rPr>
          <w:lang w:val="en-US"/>
        </w:rPr>
        <w:tab/>
        <w:t xml:space="preserve">Without the Contracting Authority’s prior written </w:t>
      </w:r>
      <w:r w:rsidR="000E44CE" w:rsidRPr="008F19B1">
        <w:rPr>
          <w:lang w:val="en-US"/>
        </w:rPr>
        <w:t>authorization</w:t>
      </w:r>
      <w:r w:rsidRPr="008F19B1">
        <w:rPr>
          <w:lang w:val="en-US"/>
        </w:rPr>
        <w:t>,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309A6F10" w14:textId="77777777" w:rsidR="003A72BC" w:rsidRPr="00DB5BAE" w:rsidRDefault="003A72BC" w:rsidP="00F84F0B">
      <w:pPr>
        <w:rPr>
          <w:lang w:val="en-US"/>
        </w:rPr>
      </w:pPr>
      <w:r w:rsidRPr="008F19B1">
        <w:rPr>
          <w:b/>
          <w:lang w:val="en-US"/>
        </w:rPr>
        <w:t>23.3.</w:t>
      </w:r>
      <w:r w:rsidRPr="008F19B1">
        <w:rPr>
          <w:lang w:val="en-US"/>
        </w:rPr>
        <w:tab/>
        <w:t xml:space="preserve">When submitting </w:t>
      </w:r>
      <w:r w:rsidRPr="00DB5BAE">
        <w:rPr>
          <w:lang w:val="en-US"/>
        </w:rPr>
        <w:t>a tender, tenderers must declare that they are not affected by a conflict of interest and have no equivalent relation in that respect with other tenderers or parties involved in the project. Should such a situation arise during execution of the contract, the Contractor must immediately inform the Contracting Authority.</w:t>
      </w:r>
    </w:p>
    <w:p w14:paraId="2FA38C23" w14:textId="7F169543" w:rsidR="003A72BC" w:rsidRPr="00DB5BAE" w:rsidRDefault="003A72BC" w:rsidP="00F84F0B">
      <w:pPr>
        <w:rPr>
          <w:lang w:val="en-US"/>
        </w:rPr>
      </w:pPr>
      <w:r w:rsidRPr="000E44CE">
        <w:rPr>
          <w:b/>
          <w:lang w:val="en-US"/>
        </w:rPr>
        <w:t>23.4</w:t>
      </w:r>
      <w:r w:rsidR="000E44CE" w:rsidRPr="000E44CE">
        <w:rPr>
          <w:b/>
          <w:lang w:val="en-US"/>
        </w:rPr>
        <w:t>.</w:t>
      </w:r>
      <w:r w:rsidRPr="00DB5BAE">
        <w:rPr>
          <w:lang w:val="en-US"/>
        </w:rPr>
        <w:tab/>
        <w:t xml:space="preserve">Contractors must </w:t>
      </w:r>
      <w:proofErr w:type="gramStart"/>
      <w:r w:rsidRPr="00DB5BAE">
        <w:rPr>
          <w:lang w:val="en-US"/>
        </w:rPr>
        <w:t>at all times</w:t>
      </w:r>
      <w:proofErr w:type="gramEnd"/>
      <w:r w:rsidRPr="00DB5BAE">
        <w:rPr>
          <w:lang w:val="en-US"/>
        </w:rPr>
        <w:t xml:space="preserve"> act impartially and as faithful advisers in accordance with the code of conduct of their profession. They will refrain from making public statements about the project or services without the Contracting Authority’s prior approval. They may not commit the Contracting Authority in any way without its prior written consent.</w:t>
      </w:r>
    </w:p>
    <w:p w14:paraId="3043E498" w14:textId="0D97A6D7" w:rsidR="003A72BC" w:rsidRPr="00DB5BAE" w:rsidRDefault="003A72BC" w:rsidP="00F84F0B">
      <w:pPr>
        <w:rPr>
          <w:lang w:val="en-US"/>
        </w:rPr>
      </w:pPr>
      <w:r w:rsidRPr="000E44CE">
        <w:rPr>
          <w:b/>
          <w:lang w:val="en-US"/>
        </w:rPr>
        <w:t>23.5</w:t>
      </w:r>
      <w:r w:rsidR="000E44CE" w:rsidRPr="000E44CE">
        <w:rPr>
          <w:b/>
          <w:lang w:val="en-US"/>
        </w:rPr>
        <w:t>.</w:t>
      </w:r>
      <w:r w:rsidRPr="00DB5BAE">
        <w:rPr>
          <w:lang w:val="en-US"/>
        </w:rPr>
        <w:tab/>
        <w:t xml:space="preserve">For the duration of the contracts Contractors and their staff must respect human rights and undertake not to offend the political, cultural and religious mores of the beneficiary state. In particular and in accordance with the legal basic act concerned, tenderers that have been awarded contracts must abide by core </w:t>
      </w:r>
      <w:proofErr w:type="spellStart"/>
      <w:r w:rsidRPr="00DB5BAE">
        <w:rPr>
          <w:lang w:val="en-US"/>
        </w:rPr>
        <w:t>labour</w:t>
      </w:r>
      <w:proofErr w:type="spellEnd"/>
      <w:r w:rsidRPr="00DB5BAE">
        <w:rPr>
          <w:lang w:val="en-US"/>
        </w:rPr>
        <w:t xml:space="preserve"> standards as defined in the relevant International </w:t>
      </w:r>
      <w:proofErr w:type="spellStart"/>
      <w:r w:rsidRPr="00DB5BAE">
        <w:rPr>
          <w:lang w:val="en-US"/>
        </w:rPr>
        <w:t>Labour</w:t>
      </w:r>
      <w:proofErr w:type="spellEnd"/>
      <w:r w:rsidRPr="00DB5BAE">
        <w:rPr>
          <w:lang w:val="en-US"/>
        </w:rPr>
        <w:t xml:space="preserve"> </w:t>
      </w:r>
      <w:r w:rsidR="000E44CE" w:rsidRPr="00DB5BAE">
        <w:rPr>
          <w:lang w:val="en-US"/>
        </w:rPr>
        <w:t>Organization</w:t>
      </w:r>
      <w:r w:rsidRPr="00DB5BAE">
        <w:rPr>
          <w:lang w:val="en-US"/>
        </w:rPr>
        <w:t xml:space="preserve"> conventions (such as the Conventions on freedom of association and collective bargaining; Abolition of forced and compulsory </w:t>
      </w:r>
      <w:proofErr w:type="spellStart"/>
      <w:r w:rsidRPr="00DB5BAE">
        <w:rPr>
          <w:lang w:val="en-US"/>
        </w:rPr>
        <w:t>labour</w:t>
      </w:r>
      <w:proofErr w:type="spellEnd"/>
      <w:r w:rsidRPr="00DB5BAE">
        <w:rPr>
          <w:lang w:val="en-US"/>
        </w:rPr>
        <w:t xml:space="preserve">; Elimination of forced and compulsory </w:t>
      </w:r>
      <w:proofErr w:type="spellStart"/>
      <w:r w:rsidRPr="00DB5BAE">
        <w:rPr>
          <w:lang w:val="en-US"/>
        </w:rPr>
        <w:t>labour</w:t>
      </w:r>
      <w:proofErr w:type="spellEnd"/>
      <w:r w:rsidRPr="00DB5BAE">
        <w:rPr>
          <w:lang w:val="en-US"/>
        </w:rPr>
        <w:t xml:space="preserve">; Abolition of child </w:t>
      </w:r>
      <w:proofErr w:type="spellStart"/>
      <w:r w:rsidRPr="00DB5BAE">
        <w:rPr>
          <w:lang w:val="en-US"/>
        </w:rPr>
        <w:t>labour</w:t>
      </w:r>
      <w:proofErr w:type="spellEnd"/>
      <w:r w:rsidRPr="00DB5BAE">
        <w:rPr>
          <w:lang w:val="en-US"/>
        </w:rPr>
        <w:t>).</w:t>
      </w:r>
    </w:p>
    <w:p w14:paraId="37A578CE" w14:textId="0DE82ECB" w:rsidR="003A72BC" w:rsidRPr="00DB5BAE" w:rsidRDefault="003A72BC" w:rsidP="00F84F0B">
      <w:pPr>
        <w:rPr>
          <w:lang w:val="en-US"/>
        </w:rPr>
      </w:pPr>
      <w:r w:rsidRPr="000E44CE">
        <w:rPr>
          <w:b/>
          <w:lang w:val="en-US"/>
        </w:rPr>
        <w:t>23.6</w:t>
      </w:r>
      <w:r w:rsidR="000E44CE" w:rsidRPr="000E44CE">
        <w:rPr>
          <w:b/>
          <w:lang w:val="en-US"/>
        </w:rPr>
        <w:t>.</w:t>
      </w:r>
      <w:r w:rsidRPr="00DB5BAE">
        <w:rPr>
          <w:lang w:val="en-US"/>
        </w:rPr>
        <w:tab/>
        <w:t>Contractors may accept no payment connected with the contracts other than that provided for therein. Contractors and their staff must not exercise any activity nor receive any advantage inconsistent with their obligations to the Contracting Authority.</w:t>
      </w:r>
    </w:p>
    <w:p w14:paraId="62184BA7" w14:textId="1F57ED6D" w:rsidR="003A72BC" w:rsidRPr="00DB5BAE" w:rsidRDefault="003A72BC" w:rsidP="00F84F0B">
      <w:pPr>
        <w:rPr>
          <w:lang w:val="en-US"/>
        </w:rPr>
      </w:pPr>
      <w:r w:rsidRPr="000E44CE">
        <w:rPr>
          <w:b/>
          <w:lang w:val="en-US"/>
        </w:rPr>
        <w:t>23.7</w:t>
      </w:r>
      <w:r w:rsidR="000E44CE" w:rsidRPr="000E44CE">
        <w:rPr>
          <w:b/>
          <w:lang w:val="en-US"/>
        </w:rPr>
        <w:t>.</w:t>
      </w:r>
      <w:r w:rsidRPr="00DB5BAE">
        <w:rPr>
          <w:lang w:val="en-US"/>
        </w:rPr>
        <w:tab/>
        <w:t>Contractors and their staff are obliged to maintain professional secrecy for the entire duration of contracts and after their completion. All reports and documents drawn up or received by Contractors will be confidential.</w:t>
      </w:r>
    </w:p>
    <w:p w14:paraId="591B372F" w14:textId="0B3C339C" w:rsidR="003A72BC" w:rsidRPr="00DB5BAE" w:rsidRDefault="003A72BC" w:rsidP="00F84F0B">
      <w:pPr>
        <w:rPr>
          <w:lang w:val="en-US"/>
        </w:rPr>
      </w:pPr>
      <w:r w:rsidRPr="000E44CE">
        <w:rPr>
          <w:b/>
          <w:lang w:val="en-US"/>
        </w:rPr>
        <w:t>23.8</w:t>
      </w:r>
      <w:r w:rsidR="000E44CE" w:rsidRPr="000E44CE">
        <w:rPr>
          <w:b/>
          <w:lang w:val="en-US"/>
        </w:rPr>
        <w:t>.</w:t>
      </w:r>
      <w:r w:rsidRPr="00DB5BAE">
        <w:rPr>
          <w:lang w:val="en-US"/>
        </w:rPr>
        <w:tab/>
        <w:t>The contract governs the Contracting Parties’ use of all reports and documents drawn up, received or presented by them during the implementation of the contract.</w:t>
      </w:r>
    </w:p>
    <w:p w14:paraId="0420E709" w14:textId="1F94A650" w:rsidR="003A72BC" w:rsidRPr="00DB5BAE" w:rsidRDefault="003A72BC" w:rsidP="00F84F0B">
      <w:pPr>
        <w:rPr>
          <w:lang w:val="en-US"/>
        </w:rPr>
      </w:pPr>
      <w:r w:rsidRPr="000E44CE">
        <w:rPr>
          <w:b/>
          <w:lang w:val="en-US"/>
        </w:rPr>
        <w:t>23.9</w:t>
      </w:r>
      <w:r w:rsidR="000E44CE" w:rsidRPr="000E44CE">
        <w:rPr>
          <w:b/>
          <w:lang w:val="en-US"/>
        </w:rPr>
        <w:t>.</w:t>
      </w:r>
      <w:r w:rsidRPr="00DB5BAE">
        <w:rPr>
          <w:lang w:val="en-US"/>
        </w:rPr>
        <w:tab/>
        <w:t>Contractors must refrain from any relationship likely to compromise their independence or that of their staff. If the Contractor ceases to be independent, the Contracting Authority may, regardless of injury, terminate the contract without further notice and without the Contractor having any claim to compensation.</w:t>
      </w:r>
    </w:p>
    <w:p w14:paraId="7D4BF964" w14:textId="24BD1F35" w:rsidR="003A72BC" w:rsidRPr="00DB5BAE" w:rsidRDefault="003A72BC" w:rsidP="00F84F0B">
      <w:pPr>
        <w:rPr>
          <w:lang w:val="en-US"/>
        </w:rPr>
      </w:pPr>
      <w:r w:rsidRPr="000E44CE">
        <w:rPr>
          <w:b/>
          <w:lang w:val="en-US"/>
        </w:rPr>
        <w:lastRenderedPageBreak/>
        <w:t>23.10</w:t>
      </w:r>
      <w:r w:rsidR="000E44CE" w:rsidRPr="000E44CE">
        <w:rPr>
          <w:b/>
          <w:lang w:val="en-US"/>
        </w:rPr>
        <w:t>.</w:t>
      </w:r>
      <w:r w:rsidRPr="00DB5BAE">
        <w:rPr>
          <w:lang w:val="en-US"/>
        </w:rPr>
        <w:tab/>
        <w:t>The Commission reserves the right to suspend or cancel project financing if corrupt practices of any kind are discovered at any stage of the award process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Contracting Authority.</w:t>
      </w:r>
    </w:p>
    <w:p w14:paraId="66AB6936" w14:textId="06630D6C" w:rsidR="003A72BC" w:rsidRPr="00DB5BAE" w:rsidRDefault="003A72BC" w:rsidP="00F84F0B">
      <w:pPr>
        <w:rPr>
          <w:lang w:val="en-US"/>
        </w:rPr>
      </w:pPr>
      <w:r w:rsidRPr="000E44CE">
        <w:rPr>
          <w:b/>
          <w:lang w:val="en-US"/>
        </w:rPr>
        <w:t>23.11</w:t>
      </w:r>
      <w:r w:rsidR="000E44CE" w:rsidRPr="000E44CE">
        <w:rPr>
          <w:b/>
          <w:lang w:val="en-US"/>
        </w:rPr>
        <w:t>.</w:t>
      </w:r>
      <w:r w:rsidRPr="00DB5BAE">
        <w:rPr>
          <w:lang w:val="en-US"/>
        </w:rPr>
        <w:tab/>
        <w:t xml:space="preserve">All tenders will be </w:t>
      </w:r>
      <w:proofErr w:type="gramStart"/>
      <w:r w:rsidRPr="00DB5BAE">
        <w:rPr>
          <w:lang w:val="en-US"/>
        </w:rPr>
        <w:t>rejected</w:t>
      </w:r>
      <w:proofErr w:type="gramEnd"/>
      <w:r w:rsidRPr="00DB5BAE">
        <w:rPr>
          <w:lang w:val="en-US"/>
        </w:rPr>
        <w:t xml:space="preserve">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any appearance of being a front company.</w:t>
      </w:r>
    </w:p>
    <w:p w14:paraId="58F02E6F" w14:textId="2106A18F" w:rsidR="003A72BC" w:rsidRPr="00DB5BAE" w:rsidRDefault="003A72BC" w:rsidP="00F84F0B">
      <w:pPr>
        <w:rPr>
          <w:lang w:val="en-US"/>
        </w:rPr>
      </w:pPr>
      <w:r w:rsidRPr="000E44CE">
        <w:rPr>
          <w:b/>
          <w:lang w:val="en-US"/>
        </w:rPr>
        <w:t>23.12</w:t>
      </w:r>
      <w:r w:rsidR="000E44CE" w:rsidRPr="000E44CE">
        <w:rPr>
          <w:b/>
          <w:lang w:val="en-US"/>
        </w:rPr>
        <w:t>.</w:t>
      </w:r>
      <w:r w:rsidRPr="00DB5BAE">
        <w:rPr>
          <w:lang w:val="en-US"/>
        </w:rPr>
        <w:tab/>
        <w:t>The Contractor undertakes to supply the Commission on request with all supporting documents relating to the conditions of the contract’s execution. The Commission may carry out whatever documentary or on-the-spot checks it deems necessary to find evidence in cases of suspected unusual commercial expenses.</w:t>
      </w:r>
    </w:p>
    <w:p w14:paraId="11322ECB" w14:textId="16709CB4" w:rsidR="003A72BC" w:rsidRPr="00DB5BAE" w:rsidRDefault="003A72BC" w:rsidP="00F84F0B">
      <w:pPr>
        <w:rPr>
          <w:lang w:val="en-US"/>
        </w:rPr>
      </w:pPr>
      <w:r w:rsidRPr="000E44CE">
        <w:rPr>
          <w:b/>
          <w:lang w:val="en-US"/>
        </w:rPr>
        <w:t>23.13</w:t>
      </w:r>
      <w:r w:rsidR="000E44CE" w:rsidRPr="000E44CE">
        <w:rPr>
          <w:b/>
          <w:lang w:val="en-US"/>
        </w:rPr>
        <w:t>.</w:t>
      </w:r>
      <w:r w:rsidRPr="00DB5BAE">
        <w:rPr>
          <w:lang w:val="en-US"/>
        </w:rPr>
        <w:tab/>
        <w:t>Contractors found to have paid unusual commercial expenses on projects funded by the EU are liable, depending on the seriousness of the facts observed, to have their contracts terminated or to be permanently excluded from receiving EU funds.</w:t>
      </w:r>
    </w:p>
    <w:p w14:paraId="4D39ECC0" w14:textId="7938703E" w:rsidR="003A72BC" w:rsidRDefault="003A72BC" w:rsidP="00F84F0B">
      <w:pPr>
        <w:rPr>
          <w:lang w:val="en-US"/>
        </w:rPr>
      </w:pPr>
      <w:r w:rsidRPr="000E44CE">
        <w:rPr>
          <w:b/>
          <w:lang w:val="en-US"/>
        </w:rPr>
        <w:t>23.14</w:t>
      </w:r>
      <w:r w:rsidR="000E44CE" w:rsidRPr="000E44CE">
        <w:rPr>
          <w:b/>
          <w:lang w:val="en-US"/>
        </w:rPr>
        <w:t>.</w:t>
      </w:r>
      <w:r w:rsidRPr="00DB5BAE">
        <w:rPr>
          <w:lang w:val="en-US"/>
        </w:rPr>
        <w:tab/>
        <w:t>The Contracting Authority reserves the right to suspend or cancel the procedure, if the award procedure proves to have been subject to substantial errors, irregularities or fraud. Where such substantial errors, irregularities or fraud are discovered after the award of the Contract, the Contracting Authority may refrain from concluding the Contract.</w:t>
      </w:r>
    </w:p>
    <w:p w14:paraId="6B120830" w14:textId="77777777" w:rsidR="0013168A" w:rsidRDefault="0013168A" w:rsidP="00F84F0B">
      <w:pPr>
        <w:rPr>
          <w:lang w:val="en-US"/>
        </w:rPr>
      </w:pPr>
    </w:p>
    <w:p w14:paraId="423C54C5" w14:textId="0536E5F9" w:rsidR="003A72BC" w:rsidRPr="00DB5BAE" w:rsidRDefault="000E44CE" w:rsidP="00C96724">
      <w:pPr>
        <w:pStyle w:val="Heading1"/>
      </w:pPr>
      <w:bookmarkStart w:id="36" w:name="_Toc42488093"/>
      <w:r>
        <w:t xml:space="preserve">24. </w:t>
      </w:r>
      <w:r w:rsidR="003A72BC" w:rsidRPr="00DB5BAE">
        <w:t>Cancellation of the tender procedure</w:t>
      </w:r>
      <w:bookmarkEnd w:id="36"/>
    </w:p>
    <w:p w14:paraId="1F8CED4C" w14:textId="77777777" w:rsidR="003A72BC" w:rsidRPr="00DB5BAE" w:rsidRDefault="003A72BC" w:rsidP="0013168A">
      <w:pPr>
        <w:rPr>
          <w:lang w:val="en-US"/>
        </w:rPr>
      </w:pPr>
      <w:r w:rsidRPr="00DB5BAE">
        <w:rPr>
          <w:lang w:val="en-US"/>
        </w:rPr>
        <w:t>If a tender procedure is cancelled, tenderers will be notified by the Contracting Authority. If the tender procedure is cancelled before the tender opening session the sealed envelopes will be returned, unopened, to the tenderers.</w:t>
      </w:r>
    </w:p>
    <w:p w14:paraId="7C784D61" w14:textId="77777777" w:rsidR="003A72BC" w:rsidRPr="00DB5BAE" w:rsidRDefault="003A72BC" w:rsidP="0013168A">
      <w:pPr>
        <w:rPr>
          <w:lang w:val="en-US"/>
        </w:rPr>
      </w:pPr>
      <w:r w:rsidRPr="00DB5BAE">
        <w:rPr>
          <w:lang w:val="en-US"/>
        </w:rPr>
        <w:t>Cancellation may occur, for example, if:</w:t>
      </w:r>
    </w:p>
    <w:p w14:paraId="2E3D7B19" w14:textId="77777777" w:rsidR="003A72BC" w:rsidRPr="0013168A" w:rsidRDefault="003A72BC" w:rsidP="0013168A">
      <w:pPr>
        <w:pStyle w:val="ListParagraph"/>
        <w:numPr>
          <w:ilvl w:val="0"/>
          <w:numId w:val="34"/>
        </w:numPr>
        <w:rPr>
          <w:lang w:val="en-US"/>
        </w:rPr>
      </w:pPr>
      <w:r w:rsidRPr="0013168A">
        <w:rPr>
          <w:lang w:val="en-US"/>
        </w:rPr>
        <w:t>the tender procedure has been unsuccessful, namely where no suitable, qualitatively or financially acceptable tender has been received or there has been no valid response at all;</w:t>
      </w:r>
    </w:p>
    <w:p w14:paraId="07A8477A" w14:textId="77777777" w:rsidR="003A72BC" w:rsidRPr="0013168A" w:rsidRDefault="003A72BC" w:rsidP="0013168A">
      <w:pPr>
        <w:pStyle w:val="ListParagraph"/>
        <w:numPr>
          <w:ilvl w:val="0"/>
          <w:numId w:val="34"/>
        </w:numPr>
        <w:rPr>
          <w:lang w:val="en-US"/>
        </w:rPr>
      </w:pPr>
      <w:r w:rsidRPr="0013168A">
        <w:rPr>
          <w:lang w:val="en-US"/>
        </w:rPr>
        <w:t>the economic or technical parameters of the project have changed fundamentally;</w:t>
      </w:r>
    </w:p>
    <w:p w14:paraId="5DCABB2E" w14:textId="77777777" w:rsidR="003A72BC" w:rsidRPr="0013168A" w:rsidRDefault="003A72BC" w:rsidP="0013168A">
      <w:pPr>
        <w:pStyle w:val="ListParagraph"/>
        <w:numPr>
          <w:ilvl w:val="0"/>
          <w:numId w:val="34"/>
        </w:numPr>
        <w:rPr>
          <w:lang w:val="en-US"/>
        </w:rPr>
      </w:pPr>
      <w:r w:rsidRPr="0013168A">
        <w:rPr>
          <w:lang w:val="en-US"/>
        </w:rPr>
        <w:t xml:space="preserve">exceptional circumstances or </w:t>
      </w:r>
      <w:r w:rsidRPr="0013168A">
        <w:rPr>
          <w:i/>
          <w:lang w:val="en-US"/>
        </w:rPr>
        <w:t>force majeure</w:t>
      </w:r>
      <w:r w:rsidRPr="0013168A">
        <w:rPr>
          <w:lang w:val="en-US"/>
        </w:rPr>
        <w:t xml:space="preserve"> render normal implementation of the project impossible;</w:t>
      </w:r>
    </w:p>
    <w:p w14:paraId="457BC5D4" w14:textId="77777777" w:rsidR="003A72BC" w:rsidRPr="0013168A" w:rsidRDefault="003A72BC" w:rsidP="0013168A">
      <w:pPr>
        <w:pStyle w:val="ListParagraph"/>
        <w:numPr>
          <w:ilvl w:val="0"/>
          <w:numId w:val="34"/>
        </w:numPr>
        <w:rPr>
          <w:lang w:val="en-US"/>
        </w:rPr>
      </w:pPr>
      <w:r w:rsidRPr="0013168A">
        <w:rPr>
          <w:lang w:val="en-US"/>
        </w:rPr>
        <w:t>all technically acceptable tenders exceed the financial resources available;</w:t>
      </w:r>
    </w:p>
    <w:p w14:paraId="386121FE" w14:textId="77777777" w:rsidR="003A72BC" w:rsidRPr="0013168A" w:rsidRDefault="003A72BC" w:rsidP="0013168A">
      <w:pPr>
        <w:pStyle w:val="ListParagraph"/>
        <w:numPr>
          <w:ilvl w:val="0"/>
          <w:numId w:val="34"/>
        </w:numPr>
        <w:rPr>
          <w:lang w:val="en-US"/>
        </w:rPr>
      </w:pPr>
      <w:r w:rsidRPr="0013168A">
        <w:rPr>
          <w:lang w:val="en-US"/>
        </w:rPr>
        <w:t xml:space="preserve">there have been substantial errors, irregularities or frauds in the procedure, </w:t>
      </w:r>
      <w:proofErr w:type="gramStart"/>
      <w:r w:rsidRPr="0013168A">
        <w:rPr>
          <w:lang w:val="en-US"/>
        </w:rPr>
        <w:t>in particular where</w:t>
      </w:r>
      <w:proofErr w:type="gramEnd"/>
      <w:r w:rsidRPr="0013168A">
        <w:rPr>
          <w:lang w:val="en-US"/>
        </w:rPr>
        <w:t xml:space="preserve"> these have prevented fair competition;</w:t>
      </w:r>
    </w:p>
    <w:p w14:paraId="0161EE29" w14:textId="77777777" w:rsidR="003A72BC" w:rsidRPr="0013168A" w:rsidRDefault="003A72BC" w:rsidP="0013168A">
      <w:pPr>
        <w:pStyle w:val="ListParagraph"/>
        <w:numPr>
          <w:ilvl w:val="0"/>
          <w:numId w:val="34"/>
        </w:numPr>
        <w:rPr>
          <w:lang w:val="en-US"/>
        </w:rPr>
      </w:pPr>
      <w:r w:rsidRPr="0013168A">
        <w:rPr>
          <w:lang w:val="en-US" w:eastAsia="en-GB"/>
        </w:rPr>
        <w:lastRenderedPageBreak/>
        <w:t xml:space="preserve">the award is not in compliance with sound financial management, </w:t>
      </w:r>
      <w:r w:rsidRPr="0013168A">
        <w:rPr>
          <w:lang w:val="en-US"/>
        </w:rPr>
        <w:t xml:space="preserve">i.e. does not respect the principles of economy, efficiency and effectiveness (e.g. the price proposed by the tenderer to whom the contract is to be awarded is objectively disproportionate </w:t>
      </w:r>
      <w:proofErr w:type="gramStart"/>
      <w:r w:rsidRPr="0013168A">
        <w:rPr>
          <w:lang w:val="en-US"/>
        </w:rPr>
        <w:t>with regard to</w:t>
      </w:r>
      <w:proofErr w:type="gramEnd"/>
      <w:r w:rsidRPr="0013168A">
        <w:rPr>
          <w:lang w:val="en-US"/>
        </w:rPr>
        <w:t xml:space="preserve"> the price of the market</w:t>
      </w:r>
      <w:r w:rsidRPr="0013168A">
        <w:rPr>
          <w:lang w:val="en-US" w:eastAsia="en-GB"/>
        </w:rPr>
        <w:t>.</w:t>
      </w:r>
    </w:p>
    <w:p w14:paraId="24FA490D" w14:textId="77777777" w:rsidR="003A72BC" w:rsidRPr="00DB5BAE" w:rsidRDefault="003A72BC" w:rsidP="0013168A">
      <w:pPr>
        <w:rPr>
          <w:lang w:val="en-US"/>
        </w:rPr>
      </w:pPr>
      <w:r w:rsidRPr="00DB5BAE">
        <w:rPr>
          <w:lang w:val="en-US"/>
        </w:rP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w:t>
      </w:r>
      <w:proofErr w:type="spellStart"/>
      <w:r w:rsidRPr="00DB5BAE">
        <w:rPr>
          <w:lang w:val="en-US"/>
        </w:rPr>
        <w:t>programme</w:t>
      </w:r>
      <w:proofErr w:type="spellEnd"/>
      <w:r w:rsidRPr="00DB5BAE">
        <w:rPr>
          <w:lang w:val="en-US"/>
        </w:rPr>
        <w:t xml:space="preserve"> or project announced.</w:t>
      </w:r>
    </w:p>
    <w:p w14:paraId="30D14D5E" w14:textId="08F1CCFF" w:rsidR="003A72BC" w:rsidRPr="00DB5BAE" w:rsidRDefault="0013168A" w:rsidP="00C96724">
      <w:pPr>
        <w:pStyle w:val="Heading1"/>
      </w:pPr>
      <w:r>
        <w:t xml:space="preserve">25. </w:t>
      </w:r>
      <w:r w:rsidR="003A72BC" w:rsidRPr="00DB5BAE">
        <w:t>Appeals</w:t>
      </w:r>
    </w:p>
    <w:p w14:paraId="6891E5BA" w14:textId="77777777" w:rsidR="003A72BC" w:rsidRPr="00DB5BAE" w:rsidRDefault="003A72BC" w:rsidP="0013168A">
      <w:pPr>
        <w:rPr>
          <w:lang w:val="en-US"/>
        </w:rPr>
      </w:pPr>
      <w:r w:rsidRPr="00DB5BAE">
        <w:rPr>
          <w:lang w:val="en-US"/>
        </w:rPr>
        <w:t>Tenderers believing that they have been harmed by an error or irregularity during the award process may file a complaint. See section 2.4.15 of the Practical Guide.</w:t>
      </w:r>
    </w:p>
    <w:p w14:paraId="11D101FA" w14:textId="627976EB" w:rsidR="0013168A" w:rsidRPr="0013168A" w:rsidRDefault="0013168A" w:rsidP="0013168A">
      <w:pPr>
        <w:pStyle w:val="Heading1"/>
      </w:pPr>
      <w:r>
        <w:t xml:space="preserve">26. </w:t>
      </w:r>
      <w:r w:rsidRPr="0013168A">
        <w:t>Data Protection</w:t>
      </w:r>
    </w:p>
    <w:p w14:paraId="4E472898" w14:textId="791B98F4" w:rsidR="003A72BC" w:rsidRPr="00DB5BAE" w:rsidRDefault="0013168A" w:rsidP="003A72BC">
      <w:pPr>
        <w:rPr>
          <w:lang w:val="en-US"/>
        </w:rPr>
      </w:pPr>
      <w:r w:rsidRPr="0013168A">
        <w:rPr>
          <w:lang w:val="en-GB"/>
        </w:rPr>
        <w:t>If processing your reply to the invitation to tender involves the recording and processing of personal data (such as names, addresses and CVs), such data will be processed</w:t>
      </w:r>
      <w:r w:rsidRPr="0013168A">
        <w:rPr>
          <w:vertAlign w:val="superscript"/>
          <w:lang w:val="en-GB"/>
        </w:rPr>
        <w:footnoteReference w:id="1"/>
      </w:r>
      <w:r w:rsidRPr="0013168A">
        <w:rPr>
          <w:lang w:val="en-GB"/>
        </w:rPr>
        <w:t xml:space="preserve"> solely for the purposes of the performance management and monitoring of the tender and of the contract by the data controller without prejudice to possible transmission to the bodies charge with monitoring or inspection tasks in application of Union law. Details concerning processing of your personal data are available on the privacy statement at </w:t>
      </w:r>
      <w:hyperlink r:id="rId13" w:history="1">
        <w:r w:rsidRPr="0013168A">
          <w:rPr>
            <w:rStyle w:val="Hyperlink"/>
            <w:lang w:val="en-GB"/>
          </w:rPr>
          <w:t>http://ec.europa.eu/europeaid/prag/annexes.do?chapterTitleCode=A</w:t>
        </w:r>
      </w:hyperlink>
      <w:r w:rsidRPr="0013168A">
        <w:rPr>
          <w:lang w:val="en-GB"/>
        </w:rPr>
        <w:t xml:space="preserve">  </w:t>
      </w:r>
      <w:r w:rsidRPr="0013168A">
        <w:rPr>
          <w:vertAlign w:val="superscript"/>
          <w:lang w:val="en-GB"/>
        </w:rPr>
        <w:footnoteReference w:id="2"/>
      </w:r>
      <w:r w:rsidRPr="0013168A">
        <w:rPr>
          <w:lang w:val="en-GB"/>
        </w:rPr>
        <w:t>.</w:t>
      </w:r>
    </w:p>
    <w:sectPr w:rsidR="003A72BC" w:rsidRPr="00DB5BAE" w:rsidSect="00F77E71">
      <w:headerReference w:type="default" r:id="rId14"/>
      <w:footerReference w:type="default" r:id="rId15"/>
      <w:type w:val="continuous"/>
      <w:pgSz w:w="11906" w:h="16838" w:code="9"/>
      <w:pgMar w:top="1701" w:right="851"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AD01D" w14:textId="77777777" w:rsidR="005E2A07" w:rsidRDefault="005E2A07" w:rsidP="00DC521C">
      <w:r>
        <w:separator/>
      </w:r>
    </w:p>
  </w:endnote>
  <w:endnote w:type="continuationSeparator" w:id="0">
    <w:p w14:paraId="6C1DEECE" w14:textId="77777777" w:rsidR="005E2A07" w:rsidRDefault="005E2A07" w:rsidP="00DC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EAE0" w14:textId="096D05C3" w:rsidR="007A7452" w:rsidRPr="00F2391F" w:rsidRDefault="007A7452" w:rsidP="00EA77C6">
    <w:pPr>
      <w:pStyle w:val="Footer"/>
      <w:rPr>
        <w:lang w:val="en-GB"/>
      </w:rPr>
    </w:pPr>
  </w:p>
  <w:tbl>
    <w:tblPr>
      <w:tblStyle w:val="TableGrid"/>
      <w:tblW w:w="10065" w:type="dxa"/>
      <w:tblBorders>
        <w:top w:val="single" w:sz="24" w:space="0" w:color="0070C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369"/>
    </w:tblGrid>
    <w:tr w:rsidR="001F2AFE" w:rsidRPr="00F2391F" w14:paraId="43F3DDA9" w14:textId="77777777" w:rsidTr="00EA77C6">
      <w:trPr>
        <w:trHeight w:val="698"/>
      </w:trPr>
      <w:tc>
        <w:tcPr>
          <w:tcW w:w="1696" w:type="dxa"/>
          <w:vMerge w:val="restart"/>
        </w:tcPr>
        <w:p w14:paraId="24215C7D" w14:textId="12124DDF" w:rsidR="001F2AFE" w:rsidRPr="00F2391F" w:rsidRDefault="001F2AFE" w:rsidP="00EA77C6">
          <w:pPr>
            <w:pStyle w:val="Footer"/>
            <w:rPr>
              <w:lang w:val="en-GB"/>
            </w:rPr>
          </w:pPr>
          <w:r w:rsidRPr="00F2391F">
            <w:rPr>
              <w:noProof/>
              <w:lang w:eastAsia="ro-RO"/>
            </w:rPr>
            <w:drawing>
              <wp:anchor distT="0" distB="0" distL="114300" distR="114300" simplePos="0" relativeHeight="251769856" behindDoc="0" locked="0" layoutInCell="1" allowOverlap="1" wp14:anchorId="634225CC" wp14:editId="62613176">
                <wp:simplePos x="0" y="0"/>
                <wp:positionH relativeFrom="column">
                  <wp:posOffset>20955</wp:posOffset>
                </wp:positionH>
                <wp:positionV relativeFrom="paragraph">
                  <wp:posOffset>115266</wp:posOffset>
                </wp:positionV>
                <wp:extent cx="900000" cy="720000"/>
                <wp:effectExtent l="0" t="0" r="0" b="444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roiect&amp;Partners.jpg"/>
                        <pic:cNvPicPr/>
                      </pic:nvPicPr>
                      <pic:blipFill>
                        <a:blip r:embed="rId1">
                          <a:extLst>
                            <a:ext uri="{28A0092B-C50C-407E-A947-70E740481C1C}">
                              <a14:useLocalDpi xmlns:a14="http://schemas.microsoft.com/office/drawing/2010/main" val="0"/>
                            </a:ext>
                          </a:extLst>
                        </a:blip>
                        <a:stretch>
                          <a:fillRect/>
                        </a:stretch>
                      </pic:blipFill>
                      <pic:spPr>
                        <a:xfrm>
                          <a:off x="0" y="0"/>
                          <a:ext cx="900000" cy="720000"/>
                        </a:xfrm>
                        <a:prstGeom prst="rect">
                          <a:avLst/>
                        </a:prstGeom>
                      </pic:spPr>
                    </pic:pic>
                  </a:graphicData>
                </a:graphic>
                <wp14:sizeRelH relativeFrom="margin">
                  <wp14:pctWidth>0</wp14:pctWidth>
                </wp14:sizeRelH>
                <wp14:sizeRelV relativeFrom="margin">
                  <wp14:pctHeight>0</wp14:pctHeight>
                </wp14:sizeRelV>
              </wp:anchor>
            </w:drawing>
          </w:r>
        </w:p>
      </w:tc>
      <w:tc>
        <w:tcPr>
          <w:tcW w:w="8369" w:type="dxa"/>
        </w:tcPr>
        <w:p w14:paraId="5BDEE715" w14:textId="6418AC02" w:rsidR="001F2AFE" w:rsidRPr="00F2391F" w:rsidRDefault="001F2AFE" w:rsidP="00EA77C6">
          <w:pPr>
            <w:spacing w:before="0" w:line="240" w:lineRule="auto"/>
            <w:rPr>
              <w:sz w:val="16"/>
              <w:szCs w:val="16"/>
              <w:lang w:val="en-GB"/>
            </w:rPr>
          </w:pPr>
        </w:p>
        <w:p w14:paraId="4261EBB4" w14:textId="66F6F036" w:rsidR="001F2AFE" w:rsidRPr="00F2391F" w:rsidRDefault="001F2AFE" w:rsidP="00EA77C6">
          <w:pPr>
            <w:pStyle w:val="Footer"/>
            <w:rPr>
              <w:lang w:val="en-GB"/>
            </w:rPr>
          </w:pPr>
          <w:r w:rsidRPr="00F2391F">
            <w:rPr>
              <w:lang w:val="en-GB"/>
            </w:rPr>
            <w:t>Cooperation beyond borders.</w:t>
          </w:r>
        </w:p>
        <w:p w14:paraId="2EE5E0F5" w14:textId="2ADFF088" w:rsidR="001F2AFE" w:rsidRPr="00F2391F" w:rsidRDefault="001F2AFE" w:rsidP="00EA77C6">
          <w:pPr>
            <w:pStyle w:val="Footer"/>
            <w:rPr>
              <w:lang w:val="en-GB"/>
            </w:rPr>
          </w:pPr>
          <w:r w:rsidRPr="00F2391F">
            <w:rPr>
              <w:lang w:val="en-GB"/>
            </w:rPr>
            <w:t>Interreg-IPA Cross-border Cooperation Romania-Serbia Programme is financed by the European Union under the Instrument for Pre-accession Assistance (IPA II) and co-financed by the partner states in the Programme.</w:t>
          </w:r>
        </w:p>
      </w:tc>
    </w:tr>
    <w:tr w:rsidR="001F2AFE" w:rsidRPr="00F2391F" w14:paraId="128FC169" w14:textId="77777777" w:rsidTr="00EA77C6">
      <w:trPr>
        <w:trHeight w:val="697"/>
      </w:trPr>
      <w:tc>
        <w:tcPr>
          <w:tcW w:w="1696" w:type="dxa"/>
          <w:vMerge/>
        </w:tcPr>
        <w:p w14:paraId="3C1B5035" w14:textId="77777777" w:rsidR="001F2AFE" w:rsidRPr="00F2391F" w:rsidRDefault="001F2AFE" w:rsidP="00EA77C6">
          <w:pPr>
            <w:pStyle w:val="Footer"/>
            <w:rPr>
              <w:noProof/>
              <w:lang w:val="en-GB"/>
            </w:rPr>
          </w:pPr>
        </w:p>
      </w:tc>
      <w:tc>
        <w:tcPr>
          <w:tcW w:w="8369" w:type="dxa"/>
        </w:tcPr>
        <w:p w14:paraId="7EE0D672" w14:textId="3C94D583" w:rsidR="001F2AFE" w:rsidRPr="00F2391F" w:rsidRDefault="001F2AFE" w:rsidP="00EA77C6">
          <w:pPr>
            <w:spacing w:before="0" w:line="240" w:lineRule="auto"/>
            <w:rPr>
              <w:sz w:val="16"/>
              <w:szCs w:val="16"/>
              <w:lang w:val="en-GB"/>
            </w:rPr>
          </w:pPr>
          <w:r w:rsidRPr="00F2391F">
            <w:rPr>
              <w:noProof/>
              <w:sz w:val="16"/>
              <w:szCs w:val="16"/>
              <w:lang w:eastAsia="ro-RO"/>
            </w:rPr>
            <mc:AlternateContent>
              <mc:Choice Requires="wps">
                <w:drawing>
                  <wp:anchor distT="0" distB="0" distL="114300" distR="114300" simplePos="0" relativeHeight="251770880" behindDoc="0" locked="0" layoutInCell="1" allowOverlap="1" wp14:anchorId="43078306" wp14:editId="2029959F">
                    <wp:simplePos x="0" y="0"/>
                    <wp:positionH relativeFrom="column">
                      <wp:posOffset>3601721</wp:posOffset>
                    </wp:positionH>
                    <wp:positionV relativeFrom="paragraph">
                      <wp:posOffset>192405</wp:posOffset>
                    </wp:positionV>
                    <wp:extent cx="1220470" cy="1828800"/>
                    <wp:effectExtent l="0" t="0" r="0" b="4445"/>
                    <wp:wrapNone/>
                    <wp:docPr id="1" name="Text Box 1"/>
                    <wp:cNvGraphicFramePr/>
                    <a:graphic xmlns:a="http://schemas.openxmlformats.org/drawingml/2006/main">
                      <a:graphicData uri="http://schemas.microsoft.com/office/word/2010/wordprocessingShape">
                        <wps:wsp>
                          <wps:cNvSpPr txBox="1"/>
                          <wps:spPr>
                            <a:xfrm>
                              <a:off x="0" y="0"/>
                              <a:ext cx="1220470" cy="1828800"/>
                            </a:xfrm>
                            <a:prstGeom prst="rect">
                              <a:avLst/>
                            </a:prstGeom>
                            <a:noFill/>
                            <a:ln w="6350">
                              <a:noFill/>
                            </a:ln>
                          </wps:spPr>
                          <wps:txbx>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3E4109">
                                  <w:rPr>
                                    <w:noProof/>
                                  </w:rPr>
                                  <w:t>13</w:t>
                                </w:r>
                                <w:r w:rsidRPr="00315BE3">
                                  <w:fldChar w:fldCharType="end"/>
                                </w:r>
                                <w:r w:rsidRPr="00315BE3">
                                  <w:t xml:space="preserve"> of </w:t>
                                </w:r>
                                <w:fldSimple w:instr=" NUMPAGES  \* Arabic  \* MERGEFORMAT ">
                                  <w:r w:rsidR="003E4109">
                                    <w:rPr>
                                      <w:noProof/>
                                    </w:rPr>
                                    <w:t>15</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3078306" id="_x0000_t202" coordsize="21600,21600" o:spt="202" path="m,l,21600r21600,l21600,xe">
                    <v:stroke joinstyle="miter"/>
                    <v:path gradientshapeok="t" o:connecttype="rect"/>
                  </v:shapetype>
                  <v:shape id="Text Box 1" o:spid="_x0000_s1026" type="#_x0000_t202" style="position:absolute;left:0;text-align:left;margin-left:283.6pt;margin-top:15.15pt;width:96.1pt;height:2in;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" filled="f" stroked="f" strokeweight=".5pt">
                    <v:textbox style="mso-fit-shape-to-text:t">
                      <w:txbxContent>
                        <w:p w14:paraId="76A4B1A0" w14:textId="77777777" w:rsidR="001F2AFE" w:rsidRPr="005B7C2B" w:rsidRDefault="001F2AFE" w:rsidP="00DC521C">
                          <w:r w:rsidRPr="00315BE3">
                            <w:t xml:space="preserve">Page </w:t>
                          </w:r>
                          <w:r w:rsidRPr="00315BE3">
                            <w:fldChar w:fldCharType="begin"/>
                          </w:r>
                          <w:r w:rsidRPr="00315BE3">
                            <w:instrText xml:space="preserve"> PAGE  \* Arabic  \* MERGEFORMAT </w:instrText>
                          </w:r>
                          <w:r w:rsidRPr="00315BE3">
                            <w:fldChar w:fldCharType="separate"/>
                          </w:r>
                          <w:r w:rsidR="003E4109">
                            <w:rPr>
                              <w:noProof/>
                            </w:rPr>
                            <w:t>13</w:t>
                          </w:r>
                          <w:r w:rsidRPr="00315BE3">
                            <w:fldChar w:fldCharType="end"/>
                          </w:r>
                          <w:r w:rsidRPr="00315BE3">
                            <w:t xml:space="preserve"> of </w:t>
                          </w:r>
                          <w:fldSimple w:instr=" NUMPAGES  \* Arabic  \* MERGEFORMAT ">
                            <w:r w:rsidR="003E4109">
                              <w:rPr>
                                <w:noProof/>
                              </w:rPr>
                              <w:t>15</w:t>
                            </w:r>
                          </w:fldSimple>
                        </w:p>
                      </w:txbxContent>
                    </v:textbox>
                  </v:shape>
                </w:pict>
              </mc:Fallback>
            </mc:AlternateContent>
          </w:r>
          <w:r w:rsidR="000C2064" w:rsidRPr="00F2391F">
            <w:rPr>
              <w:sz w:val="16"/>
              <w:szCs w:val="16"/>
              <w:lang w:val="en-GB"/>
            </w:rPr>
            <w:t xml:space="preserve">Project </w:t>
          </w:r>
          <w:proofErr w:type="spellStart"/>
          <w:r w:rsidR="000C2064" w:rsidRPr="00F2391F">
            <w:rPr>
              <w:sz w:val="16"/>
              <w:szCs w:val="16"/>
              <w:lang w:val="en-GB"/>
            </w:rPr>
            <w:t>RoRS</w:t>
          </w:r>
          <w:proofErr w:type="spellEnd"/>
          <w:r w:rsidR="000C2064" w:rsidRPr="00F2391F">
            <w:rPr>
              <w:sz w:val="16"/>
              <w:szCs w:val="16"/>
              <w:lang w:val="en-GB"/>
            </w:rPr>
            <w:t xml:space="preserve"> 337- </w:t>
          </w:r>
          <w:proofErr w:type="spellStart"/>
          <w:r w:rsidRPr="00F2391F">
            <w:rPr>
              <w:sz w:val="16"/>
              <w:szCs w:val="16"/>
              <w:lang w:val="en-GB"/>
            </w:rPr>
            <w:t>ROmania</w:t>
          </w:r>
          <w:proofErr w:type="spellEnd"/>
          <w:r w:rsidRPr="00F2391F">
            <w:rPr>
              <w:sz w:val="16"/>
              <w:szCs w:val="16"/>
              <w:lang w:val="en-GB"/>
            </w:rPr>
            <w:t xml:space="preserve"> Serbia </w:t>
          </w:r>
          <w:proofErr w:type="spellStart"/>
          <w:r w:rsidRPr="00F2391F">
            <w:rPr>
              <w:sz w:val="16"/>
              <w:szCs w:val="16"/>
              <w:lang w:val="en-GB"/>
            </w:rPr>
            <w:t>NETwork</w:t>
          </w:r>
          <w:proofErr w:type="spellEnd"/>
          <w:r w:rsidRPr="00F2391F">
            <w:rPr>
              <w:sz w:val="16"/>
              <w:szCs w:val="16"/>
              <w:lang w:val="en-GB"/>
            </w:rPr>
            <w:t xml:space="preserve"> for assessing and disseminating the impact of copper mining activities on water quality in the cross-border area</w:t>
          </w:r>
          <w:r w:rsidR="000C2064" w:rsidRPr="00F2391F">
            <w:rPr>
              <w:sz w:val="16"/>
              <w:szCs w:val="16"/>
              <w:lang w:val="en-GB"/>
            </w:rPr>
            <w:t xml:space="preserve"> (RoS-NET2</w:t>
          </w:r>
          <w:r w:rsidR="000A180B" w:rsidRPr="00F2391F">
            <w:rPr>
              <w:sz w:val="16"/>
              <w:szCs w:val="16"/>
              <w:lang w:val="en-GB"/>
            </w:rPr>
            <w:t>)</w:t>
          </w:r>
        </w:p>
      </w:tc>
    </w:tr>
  </w:tbl>
  <w:p w14:paraId="14A3C96D" w14:textId="2082DF64" w:rsidR="006D5E06" w:rsidRPr="00F2391F" w:rsidRDefault="006D5E06" w:rsidP="00EA77C6">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87159" w14:textId="77777777" w:rsidR="005E2A07" w:rsidRDefault="005E2A07" w:rsidP="00DC521C">
      <w:r>
        <w:separator/>
      </w:r>
    </w:p>
  </w:footnote>
  <w:footnote w:type="continuationSeparator" w:id="0">
    <w:p w14:paraId="45A38F7F" w14:textId="77777777" w:rsidR="005E2A07" w:rsidRDefault="005E2A07" w:rsidP="00DC521C">
      <w:r>
        <w:continuationSeparator/>
      </w:r>
    </w:p>
  </w:footnote>
  <w:footnote w:id="1">
    <w:p w14:paraId="784DABB9" w14:textId="77777777" w:rsidR="0013168A" w:rsidRPr="00130EF1" w:rsidRDefault="0013168A" w:rsidP="0013168A">
      <w:pPr>
        <w:pStyle w:val="FootnoteText"/>
        <w:spacing w:before="0"/>
        <w:ind w:left="284" w:hanging="284"/>
        <w:rPr>
          <w:rFonts w:ascii="Times New Roman" w:hAnsi="Times New Roman"/>
          <w:lang w:val="en-GB"/>
        </w:rPr>
      </w:pPr>
      <w:r w:rsidRPr="00130EF1">
        <w:rPr>
          <w:rStyle w:val="FootnoteReference"/>
          <w:rFonts w:ascii="Times New Roman" w:hAnsi="Times New Roman"/>
        </w:rPr>
        <w:footnoteRef/>
      </w:r>
      <w:r w:rsidRPr="00130EF1">
        <w:rPr>
          <w:rFonts w:ascii="Times New Roman" w:hAnsi="Times New Roman"/>
          <w:lang w:val="en-GB"/>
        </w:rPr>
        <w:tab/>
      </w:r>
      <w:r>
        <w:rPr>
          <w:rFonts w:ascii="Times New Roman" w:hAnsi="Times New Roman"/>
          <w:lang w:val="en-GB"/>
        </w:rPr>
        <w:t>P</w:t>
      </w:r>
      <w:r w:rsidRPr="00130EF1">
        <w:rPr>
          <w:rFonts w:ascii="Times New Roman" w:hAnsi="Times New Roman"/>
          <w:lang w:val="en-GB"/>
        </w:rPr>
        <w:t xml:space="preserve">ursuant to Regulation (EC) No 45/2001 on the protection of individuals </w:t>
      </w:r>
      <w:proofErr w:type="gramStart"/>
      <w:r w:rsidRPr="00130EF1">
        <w:rPr>
          <w:rFonts w:ascii="Times New Roman" w:hAnsi="Times New Roman"/>
          <w:lang w:val="en-GB"/>
        </w:rPr>
        <w:t>with regard to</w:t>
      </w:r>
      <w:proofErr w:type="gramEnd"/>
      <w:r w:rsidRPr="00130EF1">
        <w:rPr>
          <w:rFonts w:ascii="Times New Roman" w:hAnsi="Times New Roman"/>
          <w:lang w:val="en-GB"/>
        </w:rPr>
        <w:t xml:space="preserve"> the processing of personal data by the Community institutions and bodies and on the free movement of such data. </w:t>
      </w:r>
    </w:p>
  </w:footnote>
  <w:footnote w:id="2">
    <w:p w14:paraId="56C1E226" w14:textId="77777777" w:rsidR="0013168A" w:rsidRPr="00130EF1" w:rsidRDefault="0013168A" w:rsidP="0013168A">
      <w:pPr>
        <w:pStyle w:val="FootnoteText"/>
        <w:spacing w:before="0"/>
        <w:ind w:left="284" w:hanging="284"/>
        <w:rPr>
          <w:rFonts w:ascii="Times New Roman" w:hAnsi="Times New Roman"/>
          <w:lang w:val="en-GB"/>
        </w:rPr>
      </w:pPr>
      <w:r w:rsidRPr="00130EF1">
        <w:rPr>
          <w:rStyle w:val="FootnoteReference"/>
          <w:rFonts w:ascii="Times New Roman" w:hAnsi="Times New Roman"/>
        </w:rPr>
        <w:footnoteRef/>
      </w:r>
      <w:r w:rsidRPr="00130EF1">
        <w:rPr>
          <w:rFonts w:ascii="Times New Roman" w:hAnsi="Times New Roman"/>
          <w:lang w:val="en-GB"/>
        </w:rPr>
        <w:tab/>
        <w:t xml:space="preserve">This link will lead you to the new "EuropeAid privacy statement" published among the </w:t>
      </w:r>
      <w:r>
        <w:rPr>
          <w:rFonts w:ascii="Times New Roman" w:hAnsi="Times New Roman"/>
          <w:lang w:val="en-GB"/>
        </w:rPr>
        <w:t>Practical Guide</w:t>
      </w:r>
      <w:r w:rsidRPr="00130EF1">
        <w:rPr>
          <w:rFonts w:ascii="Times New Roman" w:hAnsi="Times New Roman"/>
          <w:lang w:val="en-GB"/>
        </w:rPr>
        <w:t xml:space="preserve"> General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A7452" w14:paraId="660F9EBB" w14:textId="77777777" w:rsidTr="00F77E71">
      <w:trPr>
        <w:trHeight w:val="1273"/>
      </w:trPr>
      <w:tc>
        <w:tcPr>
          <w:tcW w:w="10065" w:type="dxa"/>
          <w:tcBorders>
            <w:bottom w:val="single" w:sz="24" w:space="0" w:color="0070C0"/>
          </w:tcBorders>
        </w:tcPr>
        <w:p w14:paraId="478C2260" w14:textId="77777777" w:rsidR="007A7452" w:rsidRDefault="007A7452" w:rsidP="00DC521C">
          <w:pPr>
            <w:pStyle w:val="Header"/>
          </w:pPr>
          <w:r w:rsidRPr="007A7452">
            <w:rPr>
              <w:noProof/>
              <w:lang w:eastAsia="ro-RO"/>
            </w:rPr>
            <w:drawing>
              <wp:anchor distT="0" distB="0" distL="114300" distR="114300" simplePos="0" relativeHeight="251764736" behindDoc="1" locked="0" layoutInCell="1" allowOverlap="1" wp14:anchorId="00494E52" wp14:editId="66C59F41">
                <wp:simplePos x="0" y="0"/>
                <wp:positionH relativeFrom="column">
                  <wp:posOffset>4878705</wp:posOffset>
                </wp:positionH>
                <wp:positionV relativeFrom="paragraph">
                  <wp:posOffset>0</wp:posOffset>
                </wp:positionV>
                <wp:extent cx="619125" cy="673100"/>
                <wp:effectExtent l="0" t="0" r="9525" b="0"/>
                <wp:wrapTight wrapText="bothSides">
                  <wp:wrapPolygon edited="0">
                    <wp:start x="5317" y="0"/>
                    <wp:lineTo x="1329" y="4279"/>
                    <wp:lineTo x="0" y="6725"/>
                    <wp:lineTo x="0" y="10392"/>
                    <wp:lineTo x="1994" y="20785"/>
                    <wp:lineTo x="11298" y="20785"/>
                    <wp:lineTo x="14622" y="20785"/>
                    <wp:lineTo x="16615" y="20785"/>
                    <wp:lineTo x="18609" y="20174"/>
                    <wp:lineTo x="21268" y="7336"/>
                    <wp:lineTo x="18609" y="3057"/>
                    <wp:lineTo x="14622" y="0"/>
                    <wp:lineTo x="5317"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619125" cy="67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A7452">
            <w:rPr>
              <w:noProof/>
              <w:lang w:eastAsia="ro-RO"/>
            </w:rPr>
            <w:drawing>
              <wp:anchor distT="0" distB="0" distL="114300" distR="114300" simplePos="0" relativeHeight="251763712" behindDoc="1" locked="0" layoutInCell="1" allowOverlap="1" wp14:anchorId="2FF4AAE0" wp14:editId="584C0DF3">
                <wp:simplePos x="0" y="0"/>
                <wp:positionH relativeFrom="column">
                  <wp:posOffset>180340</wp:posOffset>
                </wp:positionH>
                <wp:positionV relativeFrom="paragraph">
                  <wp:posOffset>-374954</wp:posOffset>
                </wp:positionV>
                <wp:extent cx="4211955" cy="647700"/>
                <wp:effectExtent l="0" t="0" r="0" b="0"/>
                <wp:wrapTight wrapText="bothSides">
                  <wp:wrapPolygon edited="0">
                    <wp:start x="0" y="0"/>
                    <wp:lineTo x="0" y="20965"/>
                    <wp:lineTo x="21493" y="20965"/>
                    <wp:lineTo x="21493" y="0"/>
                    <wp:lineTo x="0" y="0"/>
                  </wp:wrapPolygon>
                </wp:wrapTight>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reg-IPA logo vers. 2 - ENG (w).png"/>
                        <pic:cNvPicPr/>
                      </pic:nvPicPr>
                      <pic:blipFill rotWithShape="1">
                        <a:blip r:embed="rId2" cstate="email">
                          <a:extLst>
                            <a:ext uri="{28A0092B-C50C-407E-A947-70E740481C1C}">
                              <a14:useLocalDpi xmlns:a14="http://schemas.microsoft.com/office/drawing/2010/main"/>
                            </a:ext>
                          </a:extLst>
                        </a:blip>
                        <a:srcRect l="2673" t="16997" r="3245" b="15356"/>
                        <a:stretch/>
                      </pic:blipFill>
                      <pic:spPr bwMode="auto">
                        <a:xfrm>
                          <a:off x="0" y="0"/>
                          <a:ext cx="421195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DE21F77" w14:textId="4E3AF9C0" w:rsidR="00241600" w:rsidRPr="007A7452" w:rsidRDefault="00241600" w:rsidP="00DC52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C57E6"/>
    <w:multiLevelType w:val="hybridMultilevel"/>
    <w:tmpl w:val="43D25F2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5C92A59"/>
    <w:multiLevelType w:val="hybridMultilevel"/>
    <w:tmpl w:val="AF3E5B9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F41595F"/>
    <w:multiLevelType w:val="hybridMultilevel"/>
    <w:tmpl w:val="A21A51E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0786FAE"/>
    <w:multiLevelType w:val="hybridMultilevel"/>
    <w:tmpl w:val="BFFE0656"/>
    <w:lvl w:ilvl="0" w:tplc="AB94FA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19B215B"/>
    <w:multiLevelType w:val="hybridMultilevel"/>
    <w:tmpl w:val="2E2001FA"/>
    <w:lvl w:ilvl="0" w:tplc="1D8CFDDA">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DAB56BC"/>
    <w:multiLevelType w:val="hybridMultilevel"/>
    <w:tmpl w:val="50C04D9C"/>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E6E0AA0"/>
    <w:multiLevelType w:val="hybridMultilevel"/>
    <w:tmpl w:val="B9F2EDD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40E7438"/>
    <w:multiLevelType w:val="hybridMultilevel"/>
    <w:tmpl w:val="C990343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ED14CA"/>
    <w:multiLevelType w:val="hybridMultilevel"/>
    <w:tmpl w:val="77381BFE"/>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291827AA"/>
    <w:multiLevelType w:val="hybridMultilevel"/>
    <w:tmpl w:val="6DD89996"/>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2B2C6C77"/>
    <w:multiLevelType w:val="hybridMultilevel"/>
    <w:tmpl w:val="BCEACFD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6" w15:restartNumberingAfterBreak="0">
    <w:nsid w:val="2C4E72BA"/>
    <w:multiLevelType w:val="hybridMultilevel"/>
    <w:tmpl w:val="B83EB424"/>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15:restartNumberingAfterBreak="0">
    <w:nsid w:val="391B78BE"/>
    <w:multiLevelType w:val="hybridMultilevel"/>
    <w:tmpl w:val="AD38EB7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0" w15:restartNumberingAfterBreak="0">
    <w:nsid w:val="413C5783"/>
    <w:multiLevelType w:val="hybridMultilevel"/>
    <w:tmpl w:val="02CEED7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9603791"/>
    <w:multiLevelType w:val="hybridMultilevel"/>
    <w:tmpl w:val="D1AA1AB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2733FFA"/>
    <w:multiLevelType w:val="hybridMultilevel"/>
    <w:tmpl w:val="760E5D10"/>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7E5FE2"/>
    <w:multiLevelType w:val="hybridMultilevel"/>
    <w:tmpl w:val="372015D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9" w15:restartNumberingAfterBreak="0">
    <w:nsid w:val="6A0E77A8"/>
    <w:multiLevelType w:val="hybridMultilevel"/>
    <w:tmpl w:val="3BBC1C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E481D24"/>
    <w:multiLevelType w:val="hybridMultilevel"/>
    <w:tmpl w:val="EE86362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707B7E41"/>
    <w:multiLevelType w:val="hybridMultilevel"/>
    <w:tmpl w:val="BD747D94"/>
    <w:lvl w:ilvl="0" w:tplc="E6DC0622">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7A266815"/>
    <w:multiLevelType w:val="hybridMultilevel"/>
    <w:tmpl w:val="E076AA3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7D086B39"/>
    <w:multiLevelType w:val="hybridMultilevel"/>
    <w:tmpl w:val="EFAC26F2"/>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8"/>
  </w:num>
  <w:num w:numId="2">
    <w:abstractNumId w:val="18"/>
  </w:num>
  <w:num w:numId="3">
    <w:abstractNumId w:val="20"/>
  </w:num>
  <w:num w:numId="4">
    <w:abstractNumId w:val="14"/>
  </w:num>
  <w:num w:numId="5">
    <w:abstractNumId w:val="30"/>
  </w:num>
  <w:num w:numId="6">
    <w:abstractNumId w:val="1"/>
  </w:num>
  <w:num w:numId="7">
    <w:abstractNumId w:val="13"/>
  </w:num>
  <w:num w:numId="8">
    <w:abstractNumId w:val="24"/>
  </w:num>
  <w:num w:numId="9">
    <w:abstractNumId w:val="33"/>
  </w:num>
  <w:num w:numId="10">
    <w:abstractNumId w:val="32"/>
  </w:num>
  <w:num w:numId="11">
    <w:abstractNumId w:val="12"/>
  </w:num>
  <w:num w:numId="12">
    <w:abstractNumId w:val="9"/>
  </w:num>
  <w:num w:numId="13">
    <w:abstractNumId w:val="4"/>
  </w:num>
  <w:num w:numId="14">
    <w:abstractNumId w:val="5"/>
  </w:num>
  <w:num w:numId="15">
    <w:abstractNumId w:val="31"/>
  </w:num>
  <w:num w:numId="16">
    <w:abstractNumId w:val="6"/>
  </w:num>
  <w:num w:numId="17">
    <w:abstractNumId w:val="7"/>
  </w:num>
  <w:num w:numId="18">
    <w:abstractNumId w:val="19"/>
  </w:num>
  <w:num w:numId="19">
    <w:abstractNumId w:val="23"/>
  </w:num>
  <w:num w:numId="20">
    <w:abstractNumId w:val="27"/>
  </w:num>
  <w:num w:numId="21">
    <w:abstractNumId w:val="28"/>
  </w:num>
  <w:num w:numId="22">
    <w:abstractNumId w:val="15"/>
  </w:num>
  <w:num w:numId="23">
    <w:abstractNumId w:val="25"/>
  </w:num>
  <w:num w:numId="24">
    <w:abstractNumId w:val="17"/>
  </w:num>
  <w:num w:numId="25">
    <w:abstractNumId w:val="0"/>
    <w:lvlOverride w:ilvl="0">
      <w:lvl w:ilvl="0">
        <w:numFmt w:val="bullet"/>
        <w:lvlText w:val=""/>
        <w:legacy w:legacy="1" w:legacySpace="0" w:legacyIndent="360"/>
        <w:lvlJc w:val="left"/>
        <w:pPr>
          <w:ind w:left="720" w:hanging="360"/>
        </w:pPr>
        <w:rPr>
          <w:rFonts w:ascii="Symbol" w:hAnsi="Symbol" w:hint="default"/>
        </w:rPr>
      </w:lvl>
    </w:lvlOverride>
  </w:num>
  <w:num w:numId="26">
    <w:abstractNumId w:val="29"/>
  </w:num>
  <w:num w:numId="27">
    <w:abstractNumId w:val="10"/>
  </w:num>
  <w:num w:numId="28">
    <w:abstractNumId w:val="21"/>
  </w:num>
  <w:num w:numId="29">
    <w:abstractNumId w:val="3"/>
  </w:num>
  <w:num w:numId="30">
    <w:abstractNumId w:val="11"/>
  </w:num>
  <w:num w:numId="31">
    <w:abstractNumId w:val="2"/>
  </w:num>
  <w:num w:numId="32">
    <w:abstractNumId w:val="16"/>
  </w:num>
  <w:num w:numId="33">
    <w:abstractNumId w:val="2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3MzIwNTQ0MTcwNTZS0lEKTi0uzszPAykwNKoFAJU9Kc0tAAAA"/>
  </w:docVars>
  <w:rsids>
    <w:rsidRoot w:val="00BF6929"/>
    <w:rsid w:val="0000256B"/>
    <w:rsid w:val="000124BC"/>
    <w:rsid w:val="00012A79"/>
    <w:rsid w:val="00015E52"/>
    <w:rsid w:val="00020E8A"/>
    <w:rsid w:val="00026FE0"/>
    <w:rsid w:val="00065AF0"/>
    <w:rsid w:val="00095BB2"/>
    <w:rsid w:val="000A1181"/>
    <w:rsid w:val="000A180B"/>
    <w:rsid w:val="000A76E3"/>
    <w:rsid w:val="000C0194"/>
    <w:rsid w:val="000C123F"/>
    <w:rsid w:val="000C130F"/>
    <w:rsid w:val="000C2064"/>
    <w:rsid w:val="000C5E60"/>
    <w:rsid w:val="000C69E3"/>
    <w:rsid w:val="000D6DC6"/>
    <w:rsid w:val="000E44CE"/>
    <w:rsid w:val="000E7FB1"/>
    <w:rsid w:val="000F2DCC"/>
    <w:rsid w:val="001029DE"/>
    <w:rsid w:val="00104305"/>
    <w:rsid w:val="00111D33"/>
    <w:rsid w:val="001136FB"/>
    <w:rsid w:val="00123B33"/>
    <w:rsid w:val="00127C68"/>
    <w:rsid w:val="001306A3"/>
    <w:rsid w:val="0013168A"/>
    <w:rsid w:val="0013194E"/>
    <w:rsid w:val="00131CA0"/>
    <w:rsid w:val="00140152"/>
    <w:rsid w:val="001514C0"/>
    <w:rsid w:val="001520DE"/>
    <w:rsid w:val="00152361"/>
    <w:rsid w:val="001610D0"/>
    <w:rsid w:val="00161528"/>
    <w:rsid w:val="00161C30"/>
    <w:rsid w:val="00164578"/>
    <w:rsid w:val="00176630"/>
    <w:rsid w:val="00185FCD"/>
    <w:rsid w:val="001A3500"/>
    <w:rsid w:val="001A4AEA"/>
    <w:rsid w:val="001C04A5"/>
    <w:rsid w:val="001D2A0F"/>
    <w:rsid w:val="001D46C8"/>
    <w:rsid w:val="001D6840"/>
    <w:rsid w:val="001D734F"/>
    <w:rsid w:val="001F2AFE"/>
    <w:rsid w:val="002035F7"/>
    <w:rsid w:val="00205F79"/>
    <w:rsid w:val="00226D3B"/>
    <w:rsid w:val="00234DED"/>
    <w:rsid w:val="00235FCA"/>
    <w:rsid w:val="00240573"/>
    <w:rsid w:val="00241600"/>
    <w:rsid w:val="00262C5C"/>
    <w:rsid w:val="002733D3"/>
    <w:rsid w:val="00294604"/>
    <w:rsid w:val="002958AB"/>
    <w:rsid w:val="002A1523"/>
    <w:rsid w:val="002B7BAD"/>
    <w:rsid w:val="002C1E3C"/>
    <w:rsid w:val="002E0D0C"/>
    <w:rsid w:val="002F12C9"/>
    <w:rsid w:val="002F2451"/>
    <w:rsid w:val="00314F5B"/>
    <w:rsid w:val="00315BE3"/>
    <w:rsid w:val="00334FE2"/>
    <w:rsid w:val="00345E66"/>
    <w:rsid w:val="003533FF"/>
    <w:rsid w:val="003812E1"/>
    <w:rsid w:val="00384C3C"/>
    <w:rsid w:val="003A2772"/>
    <w:rsid w:val="003A6F08"/>
    <w:rsid w:val="003A72BC"/>
    <w:rsid w:val="003B55E9"/>
    <w:rsid w:val="003D1C54"/>
    <w:rsid w:val="003D29D5"/>
    <w:rsid w:val="003D5525"/>
    <w:rsid w:val="003E4109"/>
    <w:rsid w:val="003E4ABF"/>
    <w:rsid w:val="003F1C63"/>
    <w:rsid w:val="004015F8"/>
    <w:rsid w:val="00401E15"/>
    <w:rsid w:val="004052F1"/>
    <w:rsid w:val="00410369"/>
    <w:rsid w:val="00424FF3"/>
    <w:rsid w:val="00433095"/>
    <w:rsid w:val="00437894"/>
    <w:rsid w:val="00465155"/>
    <w:rsid w:val="004832B3"/>
    <w:rsid w:val="00483346"/>
    <w:rsid w:val="0048751C"/>
    <w:rsid w:val="004A5465"/>
    <w:rsid w:val="004A7558"/>
    <w:rsid w:val="004C2B96"/>
    <w:rsid w:val="004D1977"/>
    <w:rsid w:val="004D1D7C"/>
    <w:rsid w:val="004D3791"/>
    <w:rsid w:val="004E08DA"/>
    <w:rsid w:val="004F708A"/>
    <w:rsid w:val="00504750"/>
    <w:rsid w:val="005065BF"/>
    <w:rsid w:val="00535BF2"/>
    <w:rsid w:val="00552E77"/>
    <w:rsid w:val="00553517"/>
    <w:rsid w:val="00561045"/>
    <w:rsid w:val="005643E6"/>
    <w:rsid w:val="00570447"/>
    <w:rsid w:val="005A18A0"/>
    <w:rsid w:val="005A7B14"/>
    <w:rsid w:val="005B1787"/>
    <w:rsid w:val="005B3180"/>
    <w:rsid w:val="005B6F4C"/>
    <w:rsid w:val="005B7BC3"/>
    <w:rsid w:val="005C3271"/>
    <w:rsid w:val="005C4737"/>
    <w:rsid w:val="005C5C10"/>
    <w:rsid w:val="005D1FDE"/>
    <w:rsid w:val="005D4BA9"/>
    <w:rsid w:val="005E2A07"/>
    <w:rsid w:val="005E2FBD"/>
    <w:rsid w:val="005E3DEE"/>
    <w:rsid w:val="005E7386"/>
    <w:rsid w:val="005F15C7"/>
    <w:rsid w:val="005F273C"/>
    <w:rsid w:val="005F2A6A"/>
    <w:rsid w:val="00603844"/>
    <w:rsid w:val="006130DF"/>
    <w:rsid w:val="00613B11"/>
    <w:rsid w:val="0061538E"/>
    <w:rsid w:val="0062563A"/>
    <w:rsid w:val="00627DEB"/>
    <w:rsid w:val="00651C9E"/>
    <w:rsid w:val="006666F2"/>
    <w:rsid w:val="00696173"/>
    <w:rsid w:val="006A5FFE"/>
    <w:rsid w:val="006B0887"/>
    <w:rsid w:val="006B1ED6"/>
    <w:rsid w:val="006D0B29"/>
    <w:rsid w:val="006D5E06"/>
    <w:rsid w:val="006F3F02"/>
    <w:rsid w:val="006F41D1"/>
    <w:rsid w:val="006F7373"/>
    <w:rsid w:val="00706118"/>
    <w:rsid w:val="00716F92"/>
    <w:rsid w:val="0072154B"/>
    <w:rsid w:val="00732847"/>
    <w:rsid w:val="0073503E"/>
    <w:rsid w:val="00745FC5"/>
    <w:rsid w:val="007533DB"/>
    <w:rsid w:val="007664A7"/>
    <w:rsid w:val="00771639"/>
    <w:rsid w:val="0077371F"/>
    <w:rsid w:val="00781EF0"/>
    <w:rsid w:val="0078795B"/>
    <w:rsid w:val="00797B1D"/>
    <w:rsid w:val="007A2E6A"/>
    <w:rsid w:val="007A56CD"/>
    <w:rsid w:val="007A7452"/>
    <w:rsid w:val="007C13C8"/>
    <w:rsid w:val="007C2573"/>
    <w:rsid w:val="007C5091"/>
    <w:rsid w:val="007D4FB8"/>
    <w:rsid w:val="007E0CC4"/>
    <w:rsid w:val="007E55A7"/>
    <w:rsid w:val="007F2759"/>
    <w:rsid w:val="007F4267"/>
    <w:rsid w:val="007F789E"/>
    <w:rsid w:val="008138CE"/>
    <w:rsid w:val="00814903"/>
    <w:rsid w:val="0082471E"/>
    <w:rsid w:val="00827492"/>
    <w:rsid w:val="008309F4"/>
    <w:rsid w:val="008341BB"/>
    <w:rsid w:val="00836F31"/>
    <w:rsid w:val="00843E93"/>
    <w:rsid w:val="00851889"/>
    <w:rsid w:val="0085693B"/>
    <w:rsid w:val="00871F62"/>
    <w:rsid w:val="00876D97"/>
    <w:rsid w:val="00876FB9"/>
    <w:rsid w:val="00880CDE"/>
    <w:rsid w:val="00891BA1"/>
    <w:rsid w:val="00893FE9"/>
    <w:rsid w:val="008967AE"/>
    <w:rsid w:val="008A39E2"/>
    <w:rsid w:val="008B3429"/>
    <w:rsid w:val="008B58FD"/>
    <w:rsid w:val="008C1BDD"/>
    <w:rsid w:val="008D07A4"/>
    <w:rsid w:val="008E01EB"/>
    <w:rsid w:val="008E032F"/>
    <w:rsid w:val="008E6123"/>
    <w:rsid w:val="008E69D0"/>
    <w:rsid w:val="008E73B8"/>
    <w:rsid w:val="008F19B1"/>
    <w:rsid w:val="00910951"/>
    <w:rsid w:val="00917225"/>
    <w:rsid w:val="009264B5"/>
    <w:rsid w:val="00934E05"/>
    <w:rsid w:val="00942716"/>
    <w:rsid w:val="00942B38"/>
    <w:rsid w:val="0094734C"/>
    <w:rsid w:val="0095455E"/>
    <w:rsid w:val="00983EEA"/>
    <w:rsid w:val="00990561"/>
    <w:rsid w:val="009937C0"/>
    <w:rsid w:val="009A44C0"/>
    <w:rsid w:val="009A4D7A"/>
    <w:rsid w:val="009A6DCD"/>
    <w:rsid w:val="009B3027"/>
    <w:rsid w:val="009B76BB"/>
    <w:rsid w:val="009D40F4"/>
    <w:rsid w:val="009F652B"/>
    <w:rsid w:val="00A04D80"/>
    <w:rsid w:val="00A06DD1"/>
    <w:rsid w:val="00A24ADE"/>
    <w:rsid w:val="00A27C0B"/>
    <w:rsid w:val="00A41DAC"/>
    <w:rsid w:val="00A47B99"/>
    <w:rsid w:val="00A752C8"/>
    <w:rsid w:val="00A87FCA"/>
    <w:rsid w:val="00A92087"/>
    <w:rsid w:val="00A94BA4"/>
    <w:rsid w:val="00AA53AA"/>
    <w:rsid w:val="00AA714A"/>
    <w:rsid w:val="00AB5598"/>
    <w:rsid w:val="00AB773B"/>
    <w:rsid w:val="00AD279B"/>
    <w:rsid w:val="00AD4386"/>
    <w:rsid w:val="00AF692B"/>
    <w:rsid w:val="00B02D18"/>
    <w:rsid w:val="00B076FF"/>
    <w:rsid w:val="00B16F02"/>
    <w:rsid w:val="00B74076"/>
    <w:rsid w:val="00B74A5F"/>
    <w:rsid w:val="00B76D56"/>
    <w:rsid w:val="00B85EE6"/>
    <w:rsid w:val="00B9402D"/>
    <w:rsid w:val="00BA1AAA"/>
    <w:rsid w:val="00BB0CEB"/>
    <w:rsid w:val="00BB1D52"/>
    <w:rsid w:val="00BB538D"/>
    <w:rsid w:val="00BD5347"/>
    <w:rsid w:val="00BF6929"/>
    <w:rsid w:val="00C0538D"/>
    <w:rsid w:val="00C12832"/>
    <w:rsid w:val="00C157CF"/>
    <w:rsid w:val="00C43545"/>
    <w:rsid w:val="00C54E8E"/>
    <w:rsid w:val="00C63F61"/>
    <w:rsid w:val="00C82C70"/>
    <w:rsid w:val="00C85A68"/>
    <w:rsid w:val="00C92034"/>
    <w:rsid w:val="00C92EF1"/>
    <w:rsid w:val="00C96724"/>
    <w:rsid w:val="00CA5529"/>
    <w:rsid w:val="00CA5B25"/>
    <w:rsid w:val="00CC38BE"/>
    <w:rsid w:val="00CC6D1C"/>
    <w:rsid w:val="00CD539B"/>
    <w:rsid w:val="00CD62EA"/>
    <w:rsid w:val="00CE735F"/>
    <w:rsid w:val="00D04722"/>
    <w:rsid w:val="00D05827"/>
    <w:rsid w:val="00D307C3"/>
    <w:rsid w:val="00D36773"/>
    <w:rsid w:val="00D5295E"/>
    <w:rsid w:val="00D53870"/>
    <w:rsid w:val="00D54DE7"/>
    <w:rsid w:val="00D64E3A"/>
    <w:rsid w:val="00D70970"/>
    <w:rsid w:val="00D74463"/>
    <w:rsid w:val="00D82A71"/>
    <w:rsid w:val="00D87B34"/>
    <w:rsid w:val="00D91E8A"/>
    <w:rsid w:val="00DA5364"/>
    <w:rsid w:val="00DA6618"/>
    <w:rsid w:val="00DB5BAE"/>
    <w:rsid w:val="00DB722D"/>
    <w:rsid w:val="00DC30DB"/>
    <w:rsid w:val="00DC521C"/>
    <w:rsid w:val="00DD2C18"/>
    <w:rsid w:val="00DD682C"/>
    <w:rsid w:val="00DE3A04"/>
    <w:rsid w:val="00DE6491"/>
    <w:rsid w:val="00DE723A"/>
    <w:rsid w:val="00DF2685"/>
    <w:rsid w:val="00DF5899"/>
    <w:rsid w:val="00E01DB2"/>
    <w:rsid w:val="00E11192"/>
    <w:rsid w:val="00E230C8"/>
    <w:rsid w:val="00E26E94"/>
    <w:rsid w:val="00E64082"/>
    <w:rsid w:val="00E773D9"/>
    <w:rsid w:val="00EA77C6"/>
    <w:rsid w:val="00EB55DB"/>
    <w:rsid w:val="00ED6FDB"/>
    <w:rsid w:val="00ED7BBC"/>
    <w:rsid w:val="00EE21D1"/>
    <w:rsid w:val="00EE67B2"/>
    <w:rsid w:val="00EF4595"/>
    <w:rsid w:val="00F0480D"/>
    <w:rsid w:val="00F23651"/>
    <w:rsid w:val="00F2391F"/>
    <w:rsid w:val="00F26C6C"/>
    <w:rsid w:val="00F31FCF"/>
    <w:rsid w:val="00F34F78"/>
    <w:rsid w:val="00F35E0C"/>
    <w:rsid w:val="00F37524"/>
    <w:rsid w:val="00F73D7B"/>
    <w:rsid w:val="00F759F7"/>
    <w:rsid w:val="00F77E71"/>
    <w:rsid w:val="00F81024"/>
    <w:rsid w:val="00F835A6"/>
    <w:rsid w:val="00F84F0B"/>
    <w:rsid w:val="00FA5A25"/>
    <w:rsid w:val="00FB6924"/>
    <w:rsid w:val="00FD417D"/>
    <w:rsid w:val="00FE339C"/>
    <w:rsid w:val="00FE7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2EA7B"/>
  <w15:docId w15:val="{085326E4-4F55-4C8C-9336-DE0338E9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682C"/>
    <w:pPr>
      <w:spacing w:before="120" w:line="260" w:lineRule="atLeast"/>
      <w:jc w:val="both"/>
    </w:pPr>
    <w:rPr>
      <w:lang w:val="ro-RO"/>
    </w:rPr>
  </w:style>
  <w:style w:type="paragraph" w:styleId="Heading1">
    <w:name w:val="heading 1"/>
    <w:basedOn w:val="Normal"/>
    <w:next w:val="Normal"/>
    <w:link w:val="Heading1Char"/>
    <w:uiPriority w:val="9"/>
    <w:qFormat/>
    <w:rsid w:val="00C96724"/>
    <w:pPr>
      <w:outlineLvl w:val="0"/>
    </w:pPr>
    <w:rPr>
      <w:b/>
      <w:sz w:val="28"/>
      <w:szCs w:val="28"/>
      <w:lang w:val="en-GB"/>
    </w:rPr>
  </w:style>
  <w:style w:type="paragraph" w:styleId="Heading2">
    <w:name w:val="heading 2"/>
    <w:basedOn w:val="Normal"/>
    <w:next w:val="Normal"/>
    <w:link w:val="Heading2Char"/>
    <w:uiPriority w:val="9"/>
    <w:unhideWhenUsed/>
    <w:qFormat/>
    <w:rsid w:val="00EB55DB"/>
    <w:pPr>
      <w:ind w:left="709" w:hanging="349"/>
      <w:outlineLvl w:val="1"/>
    </w:pPr>
    <w:rPr>
      <w:b/>
      <w:lang w:val="en-GB"/>
    </w:rPr>
  </w:style>
  <w:style w:type="paragraph" w:styleId="Heading3">
    <w:name w:val="heading 3"/>
    <w:basedOn w:val="Normal"/>
    <w:next w:val="Normal"/>
    <w:link w:val="Heading3Char"/>
    <w:uiPriority w:val="9"/>
    <w:unhideWhenUsed/>
    <w:qFormat/>
    <w:rsid w:val="00EA77C6"/>
    <w:pPr>
      <w:spacing w:after="120"/>
      <w:outlineLvl w:val="2"/>
    </w:pPr>
    <w:rPr>
      <w:b/>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3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F61"/>
  </w:style>
  <w:style w:type="paragraph" w:styleId="Footer">
    <w:name w:val="footer"/>
    <w:basedOn w:val="Normal"/>
    <w:link w:val="FooterChar"/>
    <w:uiPriority w:val="99"/>
    <w:unhideWhenUsed/>
    <w:rsid w:val="00EA77C6"/>
    <w:pPr>
      <w:spacing w:before="0" w:after="0" w:line="240" w:lineRule="auto"/>
    </w:pPr>
    <w:rPr>
      <w:sz w:val="16"/>
      <w:szCs w:val="16"/>
    </w:rPr>
  </w:style>
  <w:style w:type="character" w:customStyle="1" w:styleId="FooterChar">
    <w:name w:val="Footer Char"/>
    <w:basedOn w:val="DefaultParagraphFont"/>
    <w:link w:val="Footer"/>
    <w:uiPriority w:val="99"/>
    <w:rsid w:val="00EA77C6"/>
    <w:rPr>
      <w:sz w:val="16"/>
      <w:szCs w:val="16"/>
      <w:lang w:val="ro-RO"/>
    </w:rPr>
  </w:style>
  <w:style w:type="paragraph" w:styleId="BalloonText">
    <w:name w:val="Balloon Text"/>
    <w:basedOn w:val="Normal"/>
    <w:link w:val="BalloonTextChar"/>
    <w:uiPriority w:val="99"/>
    <w:semiHidden/>
    <w:unhideWhenUsed/>
    <w:rsid w:val="00C63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F61"/>
    <w:rPr>
      <w:rFonts w:ascii="Tahoma" w:hAnsi="Tahoma" w:cs="Tahoma"/>
      <w:sz w:val="16"/>
      <w:szCs w:val="16"/>
    </w:rPr>
  </w:style>
  <w:style w:type="character" w:styleId="Hyperlink">
    <w:name w:val="Hyperlink"/>
    <w:basedOn w:val="DefaultParagraphFont"/>
    <w:uiPriority w:val="99"/>
    <w:unhideWhenUsed/>
    <w:rsid w:val="00AD4386"/>
    <w:rPr>
      <w:color w:val="0000FF" w:themeColor="hyperlink"/>
      <w:u w:val="single"/>
    </w:rPr>
  </w:style>
  <w:style w:type="table" w:styleId="TableGrid">
    <w:name w:val="Table Grid"/>
    <w:basedOn w:val="TableNormal"/>
    <w:uiPriority w:val="59"/>
    <w:rsid w:val="007A7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38CE"/>
    <w:rPr>
      <w:sz w:val="16"/>
      <w:szCs w:val="16"/>
    </w:rPr>
  </w:style>
  <w:style w:type="paragraph" w:styleId="CommentText">
    <w:name w:val="annotation text"/>
    <w:basedOn w:val="Normal"/>
    <w:link w:val="CommentTextChar"/>
    <w:uiPriority w:val="99"/>
    <w:unhideWhenUsed/>
    <w:rsid w:val="008138CE"/>
    <w:pPr>
      <w:spacing w:line="240" w:lineRule="auto"/>
    </w:pPr>
    <w:rPr>
      <w:sz w:val="20"/>
      <w:szCs w:val="20"/>
    </w:rPr>
  </w:style>
  <w:style w:type="character" w:customStyle="1" w:styleId="CommentTextChar">
    <w:name w:val="Comment Text Char"/>
    <w:basedOn w:val="DefaultParagraphFont"/>
    <w:link w:val="CommentText"/>
    <w:uiPriority w:val="99"/>
    <w:rsid w:val="008138CE"/>
    <w:rPr>
      <w:sz w:val="20"/>
      <w:szCs w:val="20"/>
    </w:rPr>
  </w:style>
  <w:style w:type="paragraph" w:styleId="CommentSubject">
    <w:name w:val="annotation subject"/>
    <w:basedOn w:val="CommentText"/>
    <w:next w:val="CommentText"/>
    <w:link w:val="CommentSubjectChar"/>
    <w:uiPriority w:val="99"/>
    <w:semiHidden/>
    <w:unhideWhenUsed/>
    <w:rsid w:val="008138CE"/>
    <w:rPr>
      <w:b/>
      <w:bCs/>
    </w:rPr>
  </w:style>
  <w:style w:type="character" w:customStyle="1" w:styleId="CommentSubjectChar">
    <w:name w:val="Comment Subject Char"/>
    <w:basedOn w:val="CommentTextChar"/>
    <w:link w:val="CommentSubject"/>
    <w:uiPriority w:val="99"/>
    <w:semiHidden/>
    <w:rsid w:val="008138CE"/>
    <w:rPr>
      <w:b/>
      <w:bCs/>
      <w:sz w:val="20"/>
      <w:szCs w:val="20"/>
    </w:rPr>
  </w:style>
  <w:style w:type="character" w:customStyle="1" w:styleId="Heading1Char">
    <w:name w:val="Heading 1 Char"/>
    <w:basedOn w:val="DefaultParagraphFont"/>
    <w:link w:val="Heading1"/>
    <w:uiPriority w:val="9"/>
    <w:rsid w:val="00C96724"/>
    <w:rPr>
      <w:b/>
      <w:sz w:val="28"/>
      <w:szCs w:val="28"/>
    </w:rPr>
  </w:style>
  <w:style w:type="character" w:customStyle="1" w:styleId="Heading2Char">
    <w:name w:val="Heading 2 Char"/>
    <w:basedOn w:val="DefaultParagraphFont"/>
    <w:link w:val="Heading2"/>
    <w:uiPriority w:val="9"/>
    <w:rsid w:val="00EB55DB"/>
    <w:rPr>
      <w:b/>
    </w:rPr>
  </w:style>
  <w:style w:type="character" w:customStyle="1" w:styleId="Heading3Char">
    <w:name w:val="Heading 3 Char"/>
    <w:basedOn w:val="DefaultParagraphFont"/>
    <w:link w:val="Heading3"/>
    <w:uiPriority w:val="9"/>
    <w:rsid w:val="00EA77C6"/>
    <w:rPr>
      <w:b/>
      <w:i/>
      <w:lang w:val="en-US"/>
    </w:rPr>
  </w:style>
  <w:style w:type="paragraph" w:styleId="ListParagraph">
    <w:name w:val="List Paragraph"/>
    <w:basedOn w:val="Normal"/>
    <w:uiPriority w:val="34"/>
    <w:qFormat/>
    <w:rsid w:val="00A87FCA"/>
    <w:pPr>
      <w:ind w:left="720"/>
      <w:contextualSpacing/>
    </w:pPr>
  </w:style>
  <w:style w:type="paragraph" w:styleId="BodyText">
    <w:name w:val="Body Text"/>
    <w:basedOn w:val="Normal"/>
    <w:link w:val="BodyTextChar"/>
    <w:uiPriority w:val="99"/>
    <w:rsid w:val="00891BA1"/>
    <w:pPr>
      <w:spacing w:before="0" w:after="120" w:line="240" w:lineRule="auto"/>
    </w:pPr>
    <w:rPr>
      <w:rFonts w:ascii="Calibri" w:eastAsia="Calibri" w:hAnsi="Calibri" w:cs="Calibri"/>
      <w:sz w:val="24"/>
      <w:szCs w:val="24"/>
      <w:lang w:val="en-GB" w:eastAsia="en-GB"/>
    </w:rPr>
  </w:style>
  <w:style w:type="character" w:customStyle="1" w:styleId="BodyTextChar">
    <w:name w:val="Body Text Char"/>
    <w:basedOn w:val="DefaultParagraphFont"/>
    <w:link w:val="BodyText"/>
    <w:uiPriority w:val="99"/>
    <w:rsid w:val="00891BA1"/>
    <w:rPr>
      <w:rFonts w:ascii="Calibri" w:eastAsia="Calibri" w:hAnsi="Calibri" w:cs="Calibri"/>
      <w:sz w:val="24"/>
      <w:szCs w:val="24"/>
      <w:lang w:eastAsia="en-GB"/>
    </w:rPr>
  </w:style>
  <w:style w:type="paragraph" w:customStyle="1" w:styleId="Blockquote">
    <w:name w:val="Blockquote"/>
    <w:basedOn w:val="Normal"/>
    <w:rsid w:val="004D1977"/>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4D1977"/>
    <w:rPr>
      <w:i/>
    </w:rPr>
  </w:style>
  <w:style w:type="character" w:styleId="Strong">
    <w:name w:val="Strong"/>
    <w:qFormat/>
    <w:rsid w:val="004D1977"/>
    <w:rPr>
      <w:b/>
    </w:rPr>
  </w:style>
  <w:style w:type="character" w:customStyle="1" w:styleId="UnresolvedMention1">
    <w:name w:val="Unresolved Mention1"/>
    <w:basedOn w:val="DefaultParagraphFont"/>
    <w:uiPriority w:val="99"/>
    <w:semiHidden/>
    <w:unhideWhenUsed/>
    <w:rsid w:val="00A752C8"/>
    <w:rPr>
      <w:color w:val="605E5C"/>
      <w:shd w:val="clear" w:color="auto" w:fill="E1DFDD"/>
    </w:rPr>
  </w:style>
  <w:style w:type="paragraph" w:styleId="BodyTextIndent">
    <w:name w:val="Body Text Indent"/>
    <w:basedOn w:val="Normal"/>
    <w:link w:val="BodyTextIndentChar"/>
    <w:uiPriority w:val="99"/>
    <w:semiHidden/>
    <w:unhideWhenUsed/>
    <w:rsid w:val="00A41DAC"/>
    <w:pPr>
      <w:spacing w:after="120"/>
      <w:ind w:left="360"/>
    </w:pPr>
  </w:style>
  <w:style w:type="character" w:customStyle="1" w:styleId="BodyTextIndentChar">
    <w:name w:val="Body Text Indent Char"/>
    <w:basedOn w:val="DefaultParagraphFont"/>
    <w:link w:val="BodyTextIndent"/>
    <w:uiPriority w:val="99"/>
    <w:semiHidden/>
    <w:rsid w:val="00A41DAC"/>
    <w:rPr>
      <w:lang w:val="ro-RO"/>
    </w:rPr>
  </w:style>
  <w:style w:type="paragraph" w:styleId="BodyText2">
    <w:name w:val="Body Text 2"/>
    <w:basedOn w:val="Normal"/>
    <w:link w:val="BodyText2Char"/>
    <w:uiPriority w:val="99"/>
    <w:semiHidden/>
    <w:unhideWhenUsed/>
    <w:rsid w:val="00A41DAC"/>
    <w:pPr>
      <w:spacing w:after="120" w:line="480" w:lineRule="auto"/>
    </w:pPr>
  </w:style>
  <w:style w:type="character" w:customStyle="1" w:styleId="BodyText2Char">
    <w:name w:val="Body Text 2 Char"/>
    <w:basedOn w:val="DefaultParagraphFont"/>
    <w:link w:val="BodyText2"/>
    <w:uiPriority w:val="99"/>
    <w:semiHidden/>
    <w:rsid w:val="00A41DAC"/>
    <w:rPr>
      <w:lang w:val="ro-RO"/>
    </w:rPr>
  </w:style>
  <w:style w:type="paragraph" w:styleId="Subtitle">
    <w:name w:val="Subtitle"/>
    <w:basedOn w:val="Normal"/>
    <w:link w:val="SubtitleChar"/>
    <w:qFormat/>
    <w:rsid w:val="00A41DAC"/>
    <w:pPr>
      <w:spacing w:before="0" w:after="0" w:line="240" w:lineRule="auto"/>
      <w:jc w:val="center"/>
    </w:pPr>
    <w:rPr>
      <w:rFonts w:ascii="Times New Roman" w:eastAsia="Times New Roman" w:hAnsi="Times New Roman" w:cs="Times New Roman"/>
      <w:b/>
      <w:sz w:val="28"/>
      <w:szCs w:val="20"/>
      <w:lang w:val="fr-BE" w:eastAsia="en-GB"/>
    </w:rPr>
  </w:style>
  <w:style w:type="character" w:customStyle="1" w:styleId="SubtitleChar">
    <w:name w:val="Subtitle Char"/>
    <w:basedOn w:val="DefaultParagraphFont"/>
    <w:link w:val="Subtitle"/>
    <w:rsid w:val="00A41DAC"/>
    <w:rPr>
      <w:rFonts w:ascii="Times New Roman" w:eastAsia="Times New Roman" w:hAnsi="Times New Roman" w:cs="Times New Roman"/>
      <w:b/>
      <w:sz w:val="28"/>
      <w:szCs w:val="20"/>
      <w:lang w:val="fr-BE" w:eastAsia="en-GB"/>
    </w:rPr>
  </w:style>
  <w:style w:type="paragraph" w:styleId="NoSpacing">
    <w:name w:val="No Spacing"/>
    <w:uiPriority w:val="1"/>
    <w:qFormat/>
    <w:rsid w:val="00A41DAC"/>
    <w:pPr>
      <w:spacing w:after="0" w:line="240" w:lineRule="auto"/>
    </w:pPr>
    <w:rPr>
      <w:rFonts w:ascii="Times New Roman" w:eastAsia="Times New Roman" w:hAnsi="Times New Roman" w:cs="Times New Roman"/>
      <w:sz w:val="20"/>
      <w:szCs w:val="20"/>
      <w:lang w:eastAsia="en-GB"/>
    </w:rPr>
  </w:style>
  <w:style w:type="paragraph" w:customStyle="1" w:styleId="Style11ptJustifiedAfter12pt">
    <w:name w:val="Style 11 pt Justified After:  12 pt"/>
    <w:basedOn w:val="Normal"/>
    <w:link w:val="Style11ptJustifiedAfter12ptChar"/>
    <w:rsid w:val="00A41DAC"/>
    <w:pPr>
      <w:spacing w:before="0" w:after="120" w:line="240" w:lineRule="auto"/>
    </w:pPr>
    <w:rPr>
      <w:rFonts w:ascii="Times New Roman" w:eastAsia="Times New Roman" w:hAnsi="Times New Roman" w:cs="Times New Roman"/>
      <w:szCs w:val="20"/>
      <w:lang w:val="en-GB" w:eastAsia="en-GB"/>
    </w:rPr>
  </w:style>
  <w:style w:type="character" w:customStyle="1" w:styleId="Style11ptJustifiedAfter12ptChar">
    <w:name w:val="Style 11 pt Justified After:  12 pt Char"/>
    <w:link w:val="Style11ptJustifiedAfter12pt"/>
    <w:rsid w:val="00A41DAC"/>
    <w:rPr>
      <w:rFonts w:ascii="Times New Roman" w:eastAsia="Times New Roman" w:hAnsi="Times New Roman" w:cs="Times New Roman"/>
      <w:szCs w:val="20"/>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41DAC"/>
    <w:pPr>
      <w:pBdr>
        <w:top w:val="single" w:sz="4" w:space="1" w:color="auto"/>
        <w:left w:val="single" w:sz="4" w:space="4" w:color="auto"/>
        <w:bottom w:val="single" w:sz="4" w:space="1" w:color="auto"/>
        <w:right w:val="single" w:sz="4" w:space="4" w:color="auto"/>
      </w:pBdr>
      <w:spacing w:before="0" w:after="0" w:line="240" w:lineRule="auto"/>
    </w:pPr>
    <w:rPr>
      <w:rFonts w:ascii="Times New Roman" w:eastAsia="Times New Roman" w:hAnsi="Times New Roman" w:cs="Times New Roman"/>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41DAC"/>
    <w:rPr>
      <w:rFonts w:ascii="Times New Roman" w:eastAsia="Times New Roman" w:hAnsi="Times New Roman" w:cs="Times New Roman"/>
      <w:lang w:eastAsia="en-GB"/>
    </w:rPr>
  </w:style>
  <w:style w:type="character" w:customStyle="1" w:styleId="Style11pt">
    <w:name w:val="Style 11 pt"/>
    <w:rsid w:val="00A41DAC"/>
    <w:rPr>
      <w:sz w:val="22"/>
    </w:rPr>
  </w:style>
  <w:style w:type="paragraph" w:styleId="FootnoteText">
    <w:name w:val="footnote text"/>
    <w:basedOn w:val="Normal"/>
    <w:link w:val="FootnoteTextChar"/>
    <w:semiHidden/>
    <w:rsid w:val="003A72BC"/>
    <w:pPr>
      <w:spacing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3A72BC"/>
    <w:rPr>
      <w:rFonts w:ascii="Arial" w:eastAsia="Times New Roman" w:hAnsi="Arial" w:cs="Times New Roman"/>
      <w:snapToGrid w:val="0"/>
      <w:sz w:val="20"/>
      <w:szCs w:val="20"/>
      <w:lang w:val="fr-FR"/>
    </w:rPr>
  </w:style>
  <w:style w:type="character" w:styleId="FootnoteReference">
    <w:name w:val="footnote reference"/>
    <w:semiHidden/>
    <w:rsid w:val="003A72BC"/>
    <w:rPr>
      <w:vertAlign w:val="superscript"/>
    </w:rPr>
  </w:style>
  <w:style w:type="paragraph" w:customStyle="1" w:styleId="PRAGHeading2">
    <w:name w:val="PRAG Heading 2"/>
    <w:basedOn w:val="Normal"/>
    <w:rsid w:val="003A72BC"/>
    <w:pPr>
      <w:widowControl w:val="0"/>
      <w:numPr>
        <w:numId w:val="29"/>
      </w:numPr>
      <w:spacing w:before="100" w:after="100" w:line="240" w:lineRule="auto"/>
    </w:pPr>
    <w:rPr>
      <w:rFonts w:ascii="Times New Roman" w:eastAsia="Times New Roman" w:hAnsi="Times New Roman" w:cs="Times New Roman"/>
      <w:snapToGrid w:val="0"/>
      <w:sz w:val="24"/>
      <w:szCs w:val="20"/>
      <w:lang w:val="fr-FR"/>
    </w:rPr>
  </w:style>
  <w:style w:type="paragraph" w:customStyle="1" w:styleId="Table01">
    <w:name w:val="Table01"/>
    <w:basedOn w:val="Normal"/>
    <w:qFormat/>
    <w:rsid w:val="00065AF0"/>
    <w:pPr>
      <w:spacing w:before="60" w:after="60"/>
      <w:jc w:val="center"/>
    </w:pPr>
    <w:rPr>
      <w:rFonts w:ascii="Arial Narrow" w:hAnsi="Arial Narrow"/>
      <w:b/>
      <w:sz w:val="20"/>
    </w:rPr>
  </w:style>
  <w:style w:type="paragraph" w:styleId="NormalWeb">
    <w:name w:val="Normal (Web)"/>
    <w:basedOn w:val="Normal"/>
    <w:uiPriority w:val="99"/>
    <w:unhideWhenUsed/>
    <w:rsid w:val="00226D3B"/>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70408">
      <w:bodyDiv w:val="1"/>
      <w:marLeft w:val="0"/>
      <w:marRight w:val="0"/>
      <w:marTop w:val="0"/>
      <w:marBottom w:val="0"/>
      <w:divBdr>
        <w:top w:val="none" w:sz="0" w:space="0" w:color="auto"/>
        <w:left w:val="none" w:sz="0" w:space="0" w:color="auto"/>
        <w:bottom w:val="none" w:sz="0" w:space="0" w:color="auto"/>
        <w:right w:val="none" w:sz="0" w:space="0" w:color="auto"/>
      </w:divBdr>
    </w:div>
    <w:div w:id="117533947">
      <w:bodyDiv w:val="1"/>
      <w:marLeft w:val="0"/>
      <w:marRight w:val="0"/>
      <w:marTop w:val="0"/>
      <w:marBottom w:val="0"/>
      <w:divBdr>
        <w:top w:val="none" w:sz="0" w:space="0" w:color="auto"/>
        <w:left w:val="none" w:sz="0" w:space="0" w:color="auto"/>
        <w:bottom w:val="none" w:sz="0" w:space="0" w:color="auto"/>
        <w:right w:val="none" w:sz="0" w:space="0" w:color="auto"/>
      </w:divBdr>
    </w:div>
    <w:div w:id="834615464">
      <w:bodyDiv w:val="1"/>
      <w:marLeft w:val="0"/>
      <w:marRight w:val="0"/>
      <w:marTop w:val="0"/>
      <w:marBottom w:val="0"/>
      <w:divBdr>
        <w:top w:val="none" w:sz="0" w:space="0" w:color="auto"/>
        <w:left w:val="none" w:sz="0" w:space="0" w:color="auto"/>
        <w:bottom w:val="none" w:sz="0" w:space="0" w:color="auto"/>
        <w:right w:val="none" w:sz="0" w:space="0" w:color="auto"/>
      </w:divBdr>
    </w:div>
    <w:div w:id="209547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mania-serbia.net/?page_id=25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stafe@yahoo.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asile.ostafe@e-uvt.ro"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070E2-968E-474A-A282-E2BC5F2EC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15</Pages>
  <Words>5976</Words>
  <Characters>34065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 Bardos</dc:creator>
  <cp:keywords/>
  <dc:description/>
  <cp:lastModifiedBy>vasile.ostafe@e-uvt.ro</cp:lastModifiedBy>
  <cp:revision>40</cp:revision>
  <cp:lastPrinted>2019-10-21T10:02:00Z</cp:lastPrinted>
  <dcterms:created xsi:type="dcterms:W3CDTF">2019-12-11T14:43:00Z</dcterms:created>
  <dcterms:modified xsi:type="dcterms:W3CDTF">2020-03-06T10:30:00Z</dcterms:modified>
</cp:coreProperties>
</file>