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F4130" w14:textId="5EFB6583" w:rsidR="004D1977" w:rsidRPr="00E626AB" w:rsidRDefault="00FD2BC7" w:rsidP="00E626AB">
      <w:pPr>
        <w:pStyle w:val="Subtitle"/>
        <w:rPr>
          <w:rStyle w:val="SubtleEmphasis"/>
          <w:i w:val="0"/>
        </w:rPr>
      </w:pPr>
      <w:r w:rsidRPr="00E626AB">
        <w:rPr>
          <w:rStyle w:val="SubtleEmphasis"/>
          <w:i w:val="0"/>
        </w:rPr>
        <w:t>SUPPLY</w:t>
      </w:r>
      <w:r w:rsidR="004D1977" w:rsidRPr="00E626AB">
        <w:rPr>
          <w:rStyle w:val="SubtleEmphasis"/>
          <w:i w:val="0"/>
        </w:rPr>
        <w:t xml:space="preserve"> CONTRACT NOTICE</w:t>
      </w:r>
    </w:p>
    <w:p w14:paraId="3DE57A41" w14:textId="51AE60F5" w:rsidR="004D1977" w:rsidRPr="00E626AB" w:rsidRDefault="00FD2BC7" w:rsidP="00E626AB">
      <w:pPr>
        <w:pStyle w:val="Subtitle"/>
        <w:rPr>
          <w:rStyle w:val="SubtleEmphasis"/>
          <w:i w:val="0"/>
        </w:rPr>
      </w:pPr>
      <w:r w:rsidRPr="00E626AB">
        <w:rPr>
          <w:rStyle w:val="SubtleEmphasis"/>
          <w:i w:val="0"/>
        </w:rPr>
        <w:t>“Research Equipment and Supplies”</w:t>
      </w:r>
    </w:p>
    <w:p w14:paraId="56F493AC" w14:textId="6D7240A8" w:rsidR="004D1977" w:rsidRPr="00E626AB" w:rsidRDefault="004D1977" w:rsidP="00E626AB">
      <w:pPr>
        <w:pStyle w:val="Subtitle"/>
        <w:rPr>
          <w:rStyle w:val="SubtleEmphasis"/>
          <w:i w:val="0"/>
        </w:rPr>
      </w:pPr>
      <w:r w:rsidRPr="00E626AB">
        <w:rPr>
          <w:rStyle w:val="SubtleEmphasis"/>
          <w:i w:val="0"/>
        </w:rPr>
        <w:t>West University of Timisoara</w:t>
      </w:r>
      <w:r w:rsidR="00FD2BC7" w:rsidRPr="00E626AB">
        <w:rPr>
          <w:rStyle w:val="SubtleEmphasis"/>
          <w:i w:val="0"/>
        </w:rPr>
        <w:t xml:space="preserve"> (Romania)</w:t>
      </w:r>
    </w:p>
    <w:p w14:paraId="7FD20107" w14:textId="77777777" w:rsidR="004D1977" w:rsidRPr="00A27594" w:rsidRDefault="004D1977" w:rsidP="00E626AB">
      <w:pPr>
        <w:pStyle w:val="Heading1"/>
      </w:pPr>
      <w:r w:rsidRPr="00A27594">
        <w:rPr>
          <w:rStyle w:val="Strong"/>
        </w:rPr>
        <w:t>1.</w:t>
      </w:r>
      <w:r w:rsidRPr="00A27594">
        <w:rPr>
          <w:rStyle w:val="Strong"/>
        </w:rPr>
        <w:tab/>
      </w:r>
      <w:r w:rsidRPr="00E626AB">
        <w:t>Publication reference</w:t>
      </w:r>
    </w:p>
    <w:p w14:paraId="367E57B0" w14:textId="66FC92DE" w:rsidR="004D1977" w:rsidRPr="00A27594" w:rsidRDefault="004D1977" w:rsidP="00A27594">
      <w:pPr>
        <w:rPr>
          <w:i/>
          <w:lang w:val="en-US"/>
        </w:rPr>
      </w:pPr>
      <w:r w:rsidRPr="00A27594">
        <w:rPr>
          <w:rStyle w:val="Emphasis"/>
          <w:i w:val="0"/>
          <w:lang w:val="en-US"/>
        </w:rPr>
        <w:t xml:space="preserve">RORS-337 / </w:t>
      </w:r>
      <w:r w:rsidR="00FD2BC7" w:rsidRPr="00A27594">
        <w:rPr>
          <w:rStyle w:val="Emphasis"/>
          <w:i w:val="0"/>
          <w:lang w:val="en-US"/>
        </w:rPr>
        <w:t>WUT-</w:t>
      </w:r>
      <w:r w:rsidRPr="00A27594">
        <w:rPr>
          <w:rStyle w:val="Emphasis"/>
          <w:i w:val="0"/>
          <w:lang w:val="en-US"/>
        </w:rPr>
        <w:t>0</w:t>
      </w:r>
      <w:r w:rsidR="00FD2BC7" w:rsidRPr="00A27594">
        <w:rPr>
          <w:rStyle w:val="Emphasis"/>
          <w:i w:val="0"/>
          <w:lang w:val="en-US"/>
        </w:rPr>
        <w:t>7</w:t>
      </w:r>
    </w:p>
    <w:p w14:paraId="27F6D561" w14:textId="77777777" w:rsidR="004D1977" w:rsidRPr="00A27594" w:rsidRDefault="004D1977" w:rsidP="00E626AB">
      <w:pPr>
        <w:pStyle w:val="Heading1"/>
      </w:pPr>
      <w:r w:rsidRPr="00A27594">
        <w:rPr>
          <w:rStyle w:val="Strong"/>
        </w:rPr>
        <w:t>2.</w:t>
      </w:r>
      <w:r w:rsidRPr="00A27594">
        <w:rPr>
          <w:rStyle w:val="Strong"/>
        </w:rPr>
        <w:tab/>
      </w:r>
      <w:r w:rsidRPr="00E626AB">
        <w:t>Procedure</w:t>
      </w:r>
    </w:p>
    <w:p w14:paraId="4364A6EE" w14:textId="09DF2DC4" w:rsidR="004D1977" w:rsidRPr="00A27594" w:rsidRDefault="00FD2BC7" w:rsidP="00A27594">
      <w:pPr>
        <w:rPr>
          <w:lang w:val="en-US"/>
        </w:rPr>
      </w:pPr>
      <w:r w:rsidRPr="00A27594">
        <w:rPr>
          <w:lang w:val="en-US"/>
        </w:rPr>
        <w:t xml:space="preserve">Local </w:t>
      </w:r>
      <w:r w:rsidR="00A27594" w:rsidRPr="00A27594">
        <w:rPr>
          <w:lang w:val="en-US"/>
        </w:rPr>
        <w:t>o</w:t>
      </w:r>
      <w:r w:rsidRPr="00A27594">
        <w:rPr>
          <w:lang w:val="en-US"/>
        </w:rPr>
        <w:t>pen tender procedure for supply contracts</w:t>
      </w:r>
      <w:r w:rsidR="00544278" w:rsidRPr="00A27594">
        <w:rPr>
          <w:lang w:val="en-US"/>
        </w:rPr>
        <w:t xml:space="preserve"> (PRAG version 2016)</w:t>
      </w:r>
    </w:p>
    <w:p w14:paraId="0764D740" w14:textId="77777777" w:rsidR="004D1977" w:rsidRPr="00A27594" w:rsidRDefault="004D1977" w:rsidP="00E626AB">
      <w:pPr>
        <w:pStyle w:val="Heading1"/>
      </w:pPr>
      <w:r w:rsidRPr="00A27594">
        <w:rPr>
          <w:rStyle w:val="Strong"/>
        </w:rPr>
        <w:t xml:space="preserve">3. </w:t>
      </w:r>
      <w:r w:rsidRPr="00A27594">
        <w:rPr>
          <w:rStyle w:val="Strong"/>
        </w:rPr>
        <w:tab/>
      </w:r>
      <w:proofErr w:type="spellStart"/>
      <w:r w:rsidRPr="00E626AB">
        <w:t>Programme</w:t>
      </w:r>
      <w:proofErr w:type="spellEnd"/>
      <w:r w:rsidRPr="00E626AB">
        <w:t xml:space="preserve"> title</w:t>
      </w:r>
    </w:p>
    <w:p w14:paraId="42A25D1C" w14:textId="77777777" w:rsidR="004D1977" w:rsidRPr="00A27594" w:rsidRDefault="004D1977" w:rsidP="00A27594">
      <w:pPr>
        <w:rPr>
          <w:rStyle w:val="Emphasis"/>
          <w:lang w:val="en-US"/>
        </w:rPr>
      </w:pPr>
      <w:r w:rsidRPr="00A27594">
        <w:rPr>
          <w:rStyle w:val="Emphasis"/>
          <w:i w:val="0"/>
          <w:lang w:val="en-US"/>
        </w:rPr>
        <w:t xml:space="preserve">Interreg-IPA Cross-border Cooperation Romania-Serbia </w:t>
      </w:r>
      <w:proofErr w:type="spellStart"/>
      <w:r w:rsidRPr="00A27594">
        <w:rPr>
          <w:rStyle w:val="Emphasis"/>
          <w:i w:val="0"/>
          <w:lang w:val="en-US"/>
        </w:rPr>
        <w:t>Programme</w:t>
      </w:r>
      <w:proofErr w:type="spellEnd"/>
    </w:p>
    <w:p w14:paraId="69DAD11D" w14:textId="77777777" w:rsidR="004D1977" w:rsidRPr="00A27594" w:rsidRDefault="004D1977" w:rsidP="00E626AB">
      <w:pPr>
        <w:pStyle w:val="Heading1"/>
      </w:pPr>
      <w:r w:rsidRPr="00A27594">
        <w:rPr>
          <w:rStyle w:val="Strong"/>
        </w:rPr>
        <w:t xml:space="preserve">4. </w:t>
      </w:r>
      <w:r w:rsidRPr="00A27594">
        <w:rPr>
          <w:rStyle w:val="Strong"/>
        </w:rPr>
        <w:tab/>
      </w:r>
      <w:r w:rsidRPr="00E626AB">
        <w:t>Financing</w:t>
      </w:r>
    </w:p>
    <w:p w14:paraId="0A952C7D" w14:textId="66F6C5CA" w:rsidR="004D1977" w:rsidRPr="00A27594" w:rsidRDefault="00561045" w:rsidP="00A27594">
      <w:pPr>
        <w:rPr>
          <w:rStyle w:val="Emphasis"/>
          <w:b/>
          <w:i w:val="0"/>
          <w:lang w:val="en-US"/>
        </w:rPr>
      </w:pPr>
      <w:r w:rsidRPr="00A27594">
        <w:rPr>
          <w:rStyle w:val="Emphasis"/>
          <w:i w:val="0"/>
          <w:lang w:val="en-US"/>
        </w:rPr>
        <w:t xml:space="preserve">Project </w:t>
      </w:r>
      <w:proofErr w:type="spellStart"/>
      <w:r w:rsidRPr="00A27594">
        <w:rPr>
          <w:rStyle w:val="Emphasis"/>
          <w:i w:val="0"/>
          <w:lang w:val="en-US"/>
        </w:rPr>
        <w:t>RoRS</w:t>
      </w:r>
      <w:proofErr w:type="spellEnd"/>
      <w:r w:rsidRPr="00A27594">
        <w:rPr>
          <w:rStyle w:val="Emphasis"/>
          <w:i w:val="0"/>
          <w:lang w:val="en-US"/>
        </w:rPr>
        <w:t xml:space="preserve"> 337- </w:t>
      </w:r>
      <w:proofErr w:type="spellStart"/>
      <w:r w:rsidRPr="00A27594">
        <w:rPr>
          <w:rStyle w:val="Emphasis"/>
          <w:i w:val="0"/>
          <w:lang w:val="en-US"/>
        </w:rPr>
        <w:t>ROmania</w:t>
      </w:r>
      <w:proofErr w:type="spellEnd"/>
      <w:r w:rsidRPr="00A27594">
        <w:rPr>
          <w:rStyle w:val="Emphasis"/>
          <w:i w:val="0"/>
          <w:lang w:val="en-US"/>
        </w:rPr>
        <w:t xml:space="preserve"> Serbia </w:t>
      </w:r>
      <w:proofErr w:type="spellStart"/>
      <w:r w:rsidRPr="00A27594">
        <w:rPr>
          <w:rStyle w:val="Emphasis"/>
          <w:i w:val="0"/>
          <w:lang w:val="en-US"/>
        </w:rPr>
        <w:t>NETwork</w:t>
      </w:r>
      <w:proofErr w:type="spellEnd"/>
      <w:r w:rsidRPr="00A27594">
        <w:rPr>
          <w:rStyle w:val="Emphasis"/>
          <w:i w:val="0"/>
          <w:lang w:val="en-US"/>
        </w:rPr>
        <w:t xml:space="preserve"> for assessing and disseminating the impact of copper mining activities on water quality in the cross-border area (RoS-NET2), </w:t>
      </w:r>
      <w:r w:rsidR="00836F31" w:rsidRPr="00A27594">
        <w:rPr>
          <w:rStyle w:val="Emphasis"/>
          <w:i w:val="0"/>
          <w:lang w:val="en-US"/>
        </w:rPr>
        <w:t xml:space="preserve">budgetary line: </w:t>
      </w:r>
      <w:r w:rsidR="00194DB0" w:rsidRPr="00A27594">
        <w:rPr>
          <w:rStyle w:val="Emphasis"/>
          <w:i w:val="0"/>
          <w:lang w:val="en-US"/>
        </w:rPr>
        <w:t>Equipment</w:t>
      </w:r>
    </w:p>
    <w:p w14:paraId="17D880EB" w14:textId="77777777" w:rsidR="004D1977" w:rsidRPr="00E626AB" w:rsidRDefault="004D1977" w:rsidP="00E626AB">
      <w:pPr>
        <w:pStyle w:val="Heading1"/>
      </w:pPr>
      <w:r w:rsidRPr="00A27594">
        <w:rPr>
          <w:rStyle w:val="Strong"/>
        </w:rPr>
        <w:t xml:space="preserve">5. </w:t>
      </w:r>
      <w:r w:rsidRPr="00A27594">
        <w:rPr>
          <w:rStyle w:val="Strong"/>
        </w:rPr>
        <w:tab/>
      </w:r>
      <w:r w:rsidRPr="00E626AB">
        <w:t>Contracting Authority</w:t>
      </w:r>
    </w:p>
    <w:p w14:paraId="67D6721D" w14:textId="2B43D377" w:rsidR="004D1977" w:rsidRPr="00A27594" w:rsidRDefault="004D1977" w:rsidP="00A27594">
      <w:pPr>
        <w:rPr>
          <w:rStyle w:val="Emphasis"/>
          <w:i w:val="0"/>
          <w:highlight w:val="yellow"/>
          <w:lang w:val="en-US"/>
        </w:rPr>
      </w:pPr>
      <w:r w:rsidRPr="00A27594">
        <w:rPr>
          <w:lang w:val="en-US"/>
        </w:rPr>
        <w:t>West University of Timisoara (Romania)</w:t>
      </w:r>
      <w:r w:rsidR="00544278" w:rsidRPr="00A27594">
        <w:rPr>
          <w:lang w:val="en-US"/>
        </w:rPr>
        <w:t xml:space="preserve"> (WUT)</w:t>
      </w:r>
      <w:r w:rsidRPr="00A27594">
        <w:rPr>
          <w:lang w:val="en-US"/>
        </w:rPr>
        <w:t xml:space="preserve"> / </w:t>
      </w:r>
      <w:proofErr w:type="spellStart"/>
      <w:r w:rsidRPr="00A27594">
        <w:rPr>
          <w:lang w:val="en-US"/>
        </w:rPr>
        <w:t>Universitatea</w:t>
      </w:r>
      <w:proofErr w:type="spellEnd"/>
      <w:r w:rsidRPr="00A27594">
        <w:rPr>
          <w:lang w:val="en-US"/>
        </w:rPr>
        <w:t xml:space="preserve"> de Vest din </w:t>
      </w:r>
      <w:proofErr w:type="spellStart"/>
      <w:r w:rsidRPr="00A27594">
        <w:rPr>
          <w:lang w:val="en-US"/>
        </w:rPr>
        <w:t>Timișoara</w:t>
      </w:r>
      <w:proofErr w:type="spellEnd"/>
      <w:r w:rsidR="00544278" w:rsidRPr="00A27594">
        <w:rPr>
          <w:lang w:val="en-US"/>
        </w:rPr>
        <w:t xml:space="preserve"> (UVT)</w:t>
      </w:r>
      <w:r w:rsidRPr="00A27594">
        <w:rPr>
          <w:lang w:val="en-US"/>
        </w:rPr>
        <w:t xml:space="preserve">, </w:t>
      </w:r>
      <w:proofErr w:type="spellStart"/>
      <w:r w:rsidRPr="00A27594">
        <w:rPr>
          <w:lang w:val="en-US"/>
        </w:rPr>
        <w:t>Blv</w:t>
      </w:r>
      <w:proofErr w:type="spellEnd"/>
      <w:r w:rsidRPr="00A27594">
        <w:rPr>
          <w:lang w:val="en-US"/>
        </w:rPr>
        <w:t xml:space="preserve">. V. </w:t>
      </w:r>
      <w:proofErr w:type="spellStart"/>
      <w:r w:rsidRPr="00A27594">
        <w:rPr>
          <w:lang w:val="en-US"/>
        </w:rPr>
        <w:t>Pârvan</w:t>
      </w:r>
      <w:proofErr w:type="spellEnd"/>
      <w:r w:rsidRPr="00A27594">
        <w:rPr>
          <w:lang w:val="en-US"/>
        </w:rPr>
        <w:t xml:space="preserve"> 4, 300223, </w:t>
      </w:r>
      <w:proofErr w:type="spellStart"/>
      <w:r w:rsidRPr="00A27594">
        <w:rPr>
          <w:lang w:val="en-US"/>
        </w:rPr>
        <w:t>Timișoara</w:t>
      </w:r>
      <w:proofErr w:type="spellEnd"/>
      <w:r w:rsidRPr="00A27594">
        <w:rPr>
          <w:lang w:val="en-US"/>
        </w:rPr>
        <w:t xml:space="preserve">, </w:t>
      </w:r>
      <w:proofErr w:type="spellStart"/>
      <w:r w:rsidRPr="00A27594">
        <w:rPr>
          <w:lang w:val="en-US"/>
        </w:rPr>
        <w:t>România</w:t>
      </w:r>
      <w:proofErr w:type="spellEnd"/>
    </w:p>
    <w:p w14:paraId="28E4ABF6" w14:textId="690750B2" w:rsidR="004D1977" w:rsidRPr="00A27594" w:rsidRDefault="004D1977" w:rsidP="00A27594">
      <w:pPr>
        <w:rPr>
          <w:lang w:val="en-US"/>
        </w:rPr>
      </w:pPr>
      <w:r w:rsidRPr="00A27594">
        <w:rPr>
          <w:noProof/>
          <w:lang w:val="ro-RO" w:eastAsia="ro-RO"/>
        </w:rPr>
        <mc:AlternateContent>
          <mc:Choice Requires="wps">
            <w:drawing>
              <wp:anchor distT="0" distB="0" distL="114300" distR="114300" simplePos="0" relativeHeight="251659264" behindDoc="0" locked="0" layoutInCell="0" allowOverlap="1" wp14:anchorId="22EB65B7" wp14:editId="75200907">
                <wp:simplePos x="0" y="0"/>
                <wp:positionH relativeFrom="column">
                  <wp:posOffset>0</wp:posOffset>
                </wp:positionH>
                <wp:positionV relativeFrom="paragraph">
                  <wp:posOffset>152400</wp:posOffset>
                </wp:positionV>
                <wp:extent cx="5943600" cy="635"/>
                <wp:effectExtent l="14605" t="24130" r="13970" b="1333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AC243"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k9ZXwIAAMA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" o:allowincell="f" strokecolor="#d4d4d4" strokeweight="1.75pt">
                <v:shadow on="t" offset="0,-1pt"/>
              </v:line>
            </w:pict>
          </mc:Fallback>
        </mc:AlternateContent>
      </w:r>
    </w:p>
    <w:p w14:paraId="67A5C5A5" w14:textId="77777777" w:rsidR="004D1977" w:rsidRDefault="004D1977" w:rsidP="00E626AB">
      <w:pPr>
        <w:pStyle w:val="Subtitle"/>
        <w:rPr>
          <w:rStyle w:val="Strong"/>
          <w:b/>
        </w:rPr>
      </w:pPr>
      <w:r w:rsidRPr="00A27594">
        <w:rPr>
          <w:rStyle w:val="Strong"/>
          <w:b/>
        </w:rPr>
        <w:t>CONTRACT SPECIFICATION</w:t>
      </w:r>
    </w:p>
    <w:p w14:paraId="162530B9" w14:textId="77777777" w:rsidR="00E626AB" w:rsidRPr="00E626AB" w:rsidRDefault="00E626AB" w:rsidP="00E626AB">
      <w:pPr>
        <w:rPr>
          <w:lang w:val="en-US"/>
        </w:rPr>
      </w:pPr>
    </w:p>
    <w:p w14:paraId="5D9C3D81" w14:textId="66E67E9F" w:rsidR="004D1977" w:rsidRPr="00A27594" w:rsidRDefault="004D1977" w:rsidP="00E626AB">
      <w:pPr>
        <w:pStyle w:val="Heading1"/>
      </w:pPr>
      <w:r w:rsidRPr="00A27594">
        <w:rPr>
          <w:rStyle w:val="Strong"/>
        </w:rPr>
        <w:t xml:space="preserve">6. </w:t>
      </w:r>
      <w:r w:rsidRPr="00A27594">
        <w:rPr>
          <w:rStyle w:val="Strong"/>
        </w:rPr>
        <w:tab/>
      </w:r>
      <w:r w:rsidR="00194DB0" w:rsidRPr="00E626AB">
        <w:t>Description</w:t>
      </w:r>
      <w:r w:rsidR="00194DB0" w:rsidRPr="00A27594">
        <w:rPr>
          <w:rStyle w:val="Strong"/>
        </w:rPr>
        <w:t xml:space="preserve"> </w:t>
      </w:r>
      <w:r w:rsidR="00194DB0" w:rsidRPr="00E626AB">
        <w:t>of the contract</w:t>
      </w:r>
    </w:p>
    <w:p w14:paraId="37CA488C" w14:textId="77777777" w:rsidR="00194DB0" w:rsidRPr="00A27594" w:rsidRDefault="00194DB0" w:rsidP="00A27594">
      <w:pPr>
        <w:rPr>
          <w:rStyle w:val="Emphasis"/>
          <w:rFonts w:ascii="Times New Roman" w:eastAsia="Times New Roman" w:hAnsi="Times New Roman" w:cs="Times New Roman"/>
          <w:i w:val="0"/>
          <w:snapToGrid w:val="0"/>
          <w:lang w:val="en-US"/>
        </w:rPr>
      </w:pPr>
      <w:r w:rsidRPr="00A27594">
        <w:rPr>
          <w:rStyle w:val="Emphasis"/>
          <w:rFonts w:ascii="Times New Roman" w:eastAsia="Times New Roman" w:hAnsi="Times New Roman" w:cs="Times New Roman"/>
          <w:i w:val="0"/>
          <w:snapToGrid w:val="0"/>
          <w:lang w:val="en-US"/>
        </w:rPr>
        <w:t xml:space="preserve">Purchasing of laboratory equipment and instruments, of chemicals and reagents, of laboratory materials, consumable and other laboratory supplies </w:t>
      </w:r>
    </w:p>
    <w:p w14:paraId="5427CEF4" w14:textId="47C25D32" w:rsidR="004D1977" w:rsidRDefault="004D1977" w:rsidP="00E626AB">
      <w:pPr>
        <w:pStyle w:val="Heading1"/>
        <w:rPr>
          <w:rStyle w:val="Strong"/>
        </w:rPr>
      </w:pPr>
      <w:r w:rsidRPr="00A27594">
        <w:rPr>
          <w:rStyle w:val="Strong"/>
        </w:rPr>
        <w:t xml:space="preserve">7. </w:t>
      </w:r>
      <w:r w:rsidRPr="00A27594">
        <w:rPr>
          <w:rStyle w:val="Strong"/>
        </w:rPr>
        <w:tab/>
      </w:r>
      <w:r w:rsidRPr="00E626AB">
        <w:t>Number and titles of lots</w:t>
      </w:r>
    </w:p>
    <w:p w14:paraId="1BA10F66" w14:textId="7065ABCB" w:rsidR="00E626AB" w:rsidRPr="00FE160E" w:rsidRDefault="00E626AB" w:rsidP="00E626AB">
      <w:pPr>
        <w:rPr>
          <w:lang w:val="en-US"/>
        </w:rPr>
      </w:pPr>
      <w:r w:rsidRPr="00FE160E">
        <w:rPr>
          <w:lang w:val="en-US"/>
        </w:rPr>
        <w:t>One lot only</w:t>
      </w:r>
    </w:p>
    <w:p w14:paraId="52941637" w14:textId="77777777" w:rsidR="00E626AB" w:rsidRDefault="00E626AB" w:rsidP="00A27594">
      <w:pPr>
        <w:pStyle w:val="Blockquote"/>
      </w:pPr>
    </w:p>
    <w:p w14:paraId="777FB4EF" w14:textId="2EC92AE3" w:rsidR="004D1977" w:rsidRPr="00A27594" w:rsidRDefault="004D1977" w:rsidP="00A27594">
      <w:pPr>
        <w:pStyle w:val="Blockquote"/>
      </w:pPr>
      <w:r w:rsidRPr="00A27594">
        <w:rPr>
          <w:noProof/>
          <w:snapToGrid/>
          <w:lang w:val="ro-RO" w:eastAsia="ro-RO"/>
        </w:rPr>
        <w:lastRenderedPageBreak/>
        <mc:AlternateContent>
          <mc:Choice Requires="wps">
            <w:drawing>
              <wp:anchor distT="0" distB="0" distL="114300" distR="114300" simplePos="0" relativeHeight="251660288" behindDoc="0" locked="0" layoutInCell="0" allowOverlap="1" wp14:anchorId="3BA9F226" wp14:editId="1A6EFC13">
                <wp:simplePos x="0" y="0"/>
                <wp:positionH relativeFrom="column">
                  <wp:posOffset>-13335</wp:posOffset>
                </wp:positionH>
                <wp:positionV relativeFrom="paragraph">
                  <wp:posOffset>222885</wp:posOffset>
                </wp:positionV>
                <wp:extent cx="5943600" cy="635"/>
                <wp:effectExtent l="20320" t="24765" r="17780" b="127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70DDEC"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oToXwIAAMA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" o:allowincell="f" strokecolor="#d4d4d4" strokeweight="1.75pt">
                <v:shadow on="t" offset="0,-1pt"/>
              </v:line>
            </w:pict>
          </mc:Fallback>
        </mc:AlternateContent>
      </w:r>
    </w:p>
    <w:p w14:paraId="794D1C5F" w14:textId="4EE8399B" w:rsidR="004D1977" w:rsidRPr="00150422" w:rsidRDefault="0052560B" w:rsidP="00150422">
      <w:pPr>
        <w:pStyle w:val="Subtitle"/>
        <w:rPr>
          <w:rStyle w:val="Strong"/>
          <w:b/>
        </w:rPr>
      </w:pPr>
      <w:r w:rsidRPr="00150422">
        <w:rPr>
          <w:rStyle w:val="Strong"/>
          <w:b/>
        </w:rPr>
        <w:t>TERMS</w:t>
      </w:r>
      <w:r w:rsidR="004D1977" w:rsidRPr="00150422">
        <w:rPr>
          <w:rStyle w:val="Strong"/>
          <w:b/>
        </w:rPr>
        <w:t xml:space="preserve"> OF PARTICIPATION</w:t>
      </w:r>
    </w:p>
    <w:p w14:paraId="03DD2979" w14:textId="02E776C2" w:rsidR="0052560B" w:rsidRPr="00A27594" w:rsidRDefault="00A27594" w:rsidP="00E626AB">
      <w:pPr>
        <w:pStyle w:val="Heading1"/>
        <w:rPr>
          <w:rStyle w:val="Strong"/>
          <w:b/>
        </w:rPr>
      </w:pPr>
      <w:r w:rsidRPr="00A27594">
        <w:rPr>
          <w:rStyle w:val="Strong"/>
          <w:b/>
        </w:rPr>
        <w:t xml:space="preserve">8. </w:t>
      </w:r>
      <w:r w:rsidR="0052560B" w:rsidRPr="00A27594">
        <w:rPr>
          <w:rStyle w:val="Strong"/>
          <w:b/>
        </w:rPr>
        <w:t xml:space="preserve">Eligibility and rules of origin </w:t>
      </w:r>
    </w:p>
    <w:p w14:paraId="568CB20A" w14:textId="6040F494" w:rsidR="0052560B" w:rsidRPr="00A27594" w:rsidRDefault="0052560B" w:rsidP="00A27594">
      <w:pPr>
        <w:rPr>
          <w:lang w:val="en-US"/>
        </w:rPr>
      </w:pPr>
      <w:r w:rsidRPr="00A27594">
        <w:rPr>
          <w:lang w:val="en-US"/>
        </w:rPr>
        <w:t xml:space="preserve">Participation is open to all natural persons who are nationals of and legal persons (participating either individually or in a grouping – consortium - of tenderers) which are effectively established in a  Member State of the European Union or in a eligible country or territory  as defined under the Regulation (EU) N°236/2014 establishing common rules and procedures for the implementation of the Union's instruments for external action (CIR) for the applicable Instrument under which the contract is financed (see also heading 22 below). Participation is also open to international </w:t>
      </w:r>
      <w:r w:rsidR="00A27594" w:rsidRPr="00A27594">
        <w:rPr>
          <w:lang w:val="en-US"/>
        </w:rPr>
        <w:t>organizations</w:t>
      </w:r>
      <w:r w:rsidRPr="00A27594">
        <w:rPr>
          <w:lang w:val="en-US"/>
        </w:rPr>
        <w:t>.</w:t>
      </w:r>
      <w:bookmarkStart w:id="0" w:name="_DV_M201"/>
      <w:bookmarkEnd w:id="0"/>
    </w:p>
    <w:p w14:paraId="6E97147A" w14:textId="77777777" w:rsidR="0052560B" w:rsidRPr="00A27594" w:rsidRDefault="0052560B" w:rsidP="00A27594">
      <w:pPr>
        <w:rPr>
          <w:rFonts w:eastAsia="Calibri" w:cs="Arial"/>
          <w:lang w:val="en-US"/>
        </w:rPr>
      </w:pPr>
      <w:r w:rsidRPr="00A27594">
        <w:rPr>
          <w:lang w:val="en-US"/>
        </w:rPr>
        <w:t xml:space="preserve">All supplies under this contract may </w:t>
      </w:r>
      <w:r w:rsidRPr="00A27594">
        <w:rPr>
          <w:rFonts w:eastAsia="Calibri" w:cs="Arial"/>
          <w:lang w:val="en-US"/>
        </w:rPr>
        <w:t>originate from any country.</w:t>
      </w:r>
    </w:p>
    <w:p w14:paraId="64AD8122" w14:textId="77777777" w:rsidR="0052560B" w:rsidRPr="00A27594" w:rsidRDefault="0052560B" w:rsidP="00A27594">
      <w:pPr>
        <w:rPr>
          <w:rFonts w:eastAsia="Calibri" w:cs="Arial"/>
          <w:lang w:val="en-US"/>
        </w:rPr>
      </w:pPr>
      <w:r w:rsidRPr="00A27594">
        <w:rPr>
          <w:lang w:val="en-US"/>
        </w:rPr>
        <w:t xml:space="preserve">According to the Instruction for the Beneficiaries of the Interreg IPA CBC Romania-Serbia, starting from 25.09.2019, all natural persons or all legal persons can participate in public procurement procedures from any country, and all goods can originate from any country, irrespective of any thresholds, in case of all actions implemented in the framework of the Interreg IPA CBC Romania-Serbia </w:t>
      </w:r>
      <w:proofErr w:type="spellStart"/>
      <w:r w:rsidRPr="00A27594">
        <w:rPr>
          <w:lang w:val="en-US"/>
        </w:rPr>
        <w:t>Programme</w:t>
      </w:r>
      <w:proofErr w:type="spellEnd"/>
      <w:r w:rsidRPr="00A27594">
        <w:rPr>
          <w:lang w:val="en-US"/>
        </w:rPr>
        <w:t>.</w:t>
      </w:r>
    </w:p>
    <w:p w14:paraId="6F3FD2DC" w14:textId="36F3C48F" w:rsidR="0052560B" w:rsidRPr="00A27594" w:rsidRDefault="00A27594" w:rsidP="00A27594">
      <w:pPr>
        <w:pStyle w:val="Heading1"/>
        <w:rPr>
          <w:rStyle w:val="Strong"/>
          <w:b/>
        </w:rPr>
      </w:pPr>
      <w:r w:rsidRPr="00A27594">
        <w:rPr>
          <w:rStyle w:val="Strong"/>
          <w:b/>
        </w:rPr>
        <w:t xml:space="preserve">9. </w:t>
      </w:r>
      <w:r w:rsidR="0052560B" w:rsidRPr="00A27594">
        <w:rPr>
          <w:rStyle w:val="Strong"/>
          <w:b/>
        </w:rPr>
        <w:t>Grounds for exclusion</w:t>
      </w:r>
    </w:p>
    <w:p w14:paraId="7E893622" w14:textId="77777777" w:rsidR="0052560B" w:rsidRPr="00A27594" w:rsidRDefault="0052560B" w:rsidP="00A27594">
      <w:pPr>
        <w:rPr>
          <w:i/>
          <w:lang w:val="en-US"/>
        </w:rPr>
      </w:pPr>
      <w:r w:rsidRPr="00A27594">
        <w:rPr>
          <w:lang w:val="en-US"/>
        </w:rPr>
        <w:t>Tenderers must submit a signed declaration, included in the Tender Form for a Supply Contract, to the effect that they are not in any of the situations listed in point 2.3.3 of the Practical Guide.</w:t>
      </w:r>
    </w:p>
    <w:p w14:paraId="70EEAC10" w14:textId="318FC4B6" w:rsidR="0052560B" w:rsidRPr="00150422" w:rsidRDefault="00150422" w:rsidP="00150422">
      <w:pPr>
        <w:pStyle w:val="Heading1"/>
        <w:rPr>
          <w:rStyle w:val="Strong"/>
          <w:b/>
        </w:rPr>
      </w:pPr>
      <w:r w:rsidRPr="00150422">
        <w:rPr>
          <w:rStyle w:val="Strong"/>
          <w:b/>
        </w:rPr>
        <w:t xml:space="preserve">10. </w:t>
      </w:r>
      <w:r w:rsidR="0052560B" w:rsidRPr="00150422">
        <w:rPr>
          <w:rStyle w:val="Strong"/>
          <w:b/>
        </w:rPr>
        <w:t>Number of tenders</w:t>
      </w:r>
    </w:p>
    <w:p w14:paraId="0F4BC971" w14:textId="1F84BE37" w:rsidR="0052560B" w:rsidRPr="00A27594" w:rsidRDefault="0052560B" w:rsidP="00A27594">
      <w:pPr>
        <w:rPr>
          <w:lang w:val="en-US"/>
        </w:rPr>
      </w:pPr>
      <w:r w:rsidRPr="00A27594">
        <w:rPr>
          <w:lang w:val="en-US"/>
        </w:rPr>
        <w:t>Tenderers may submit only one tender per lot. Tenders for parts of a lot will not be considered. Tenderers may not submit a tender for a variant solution in addition to their tender for the supplies required in the tender dossier.</w:t>
      </w:r>
    </w:p>
    <w:p w14:paraId="697BAF9E" w14:textId="53DB33A2" w:rsidR="0052560B" w:rsidRPr="001162EC" w:rsidRDefault="001162EC" w:rsidP="001162EC">
      <w:pPr>
        <w:pStyle w:val="Heading1"/>
        <w:rPr>
          <w:rStyle w:val="Strong"/>
          <w:b/>
        </w:rPr>
      </w:pPr>
      <w:r w:rsidRPr="001162EC">
        <w:rPr>
          <w:rStyle w:val="Strong"/>
          <w:b/>
        </w:rPr>
        <w:t xml:space="preserve">11. </w:t>
      </w:r>
      <w:r w:rsidR="0052560B" w:rsidRPr="001162EC">
        <w:rPr>
          <w:rStyle w:val="Strong"/>
          <w:b/>
        </w:rPr>
        <w:t>Tender guarantee</w:t>
      </w:r>
    </w:p>
    <w:p w14:paraId="1D616079" w14:textId="2910FB00" w:rsidR="001162EC" w:rsidRDefault="00DD0B74" w:rsidP="00A27594">
      <w:pPr>
        <w:rPr>
          <w:lang w:val="en-US"/>
        </w:rPr>
      </w:pPr>
      <w:r>
        <w:rPr>
          <w:lang w:val="en-US"/>
        </w:rPr>
        <w:t xml:space="preserve">No tender guaranty is requested. </w:t>
      </w:r>
    </w:p>
    <w:p w14:paraId="19076D10" w14:textId="60ADE1D3" w:rsidR="0052560B" w:rsidRPr="00A27594" w:rsidRDefault="00E626AB" w:rsidP="00E626AB">
      <w:pPr>
        <w:pStyle w:val="Heading1"/>
        <w:rPr>
          <w:rStyle w:val="Strong"/>
        </w:rPr>
      </w:pPr>
      <w:r w:rsidRPr="00E626AB">
        <w:rPr>
          <w:rStyle w:val="Strong"/>
          <w:b/>
        </w:rPr>
        <w:t xml:space="preserve">12. </w:t>
      </w:r>
      <w:r w:rsidR="0052560B" w:rsidRPr="00E626AB">
        <w:t>Performance guarantee</w:t>
      </w:r>
    </w:p>
    <w:p w14:paraId="4984D54C" w14:textId="76927ED7" w:rsidR="005205FC" w:rsidRDefault="005205FC" w:rsidP="00A27594">
      <w:pPr>
        <w:rPr>
          <w:lang w:val="en-US"/>
        </w:rPr>
      </w:pPr>
      <w:r w:rsidRPr="005205FC">
        <w:rPr>
          <w:lang w:val="en-US"/>
        </w:rPr>
        <w:t xml:space="preserve">The successful tenderer will be asked to provide a performance guarantee </w:t>
      </w:r>
      <w:r w:rsidRPr="00FE160E">
        <w:rPr>
          <w:lang w:val="en-US"/>
        </w:rPr>
        <w:t xml:space="preserve">of 5% of the amount </w:t>
      </w:r>
      <w:r w:rsidRPr="005205FC">
        <w:rPr>
          <w:lang w:val="en-US"/>
        </w:rPr>
        <w:t>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4CEFCF23" w14:textId="6D18E86D" w:rsidR="0052560B" w:rsidRPr="00A27594" w:rsidRDefault="0052560B" w:rsidP="00A27594">
      <w:pPr>
        <w:rPr>
          <w:lang w:val="en-US"/>
        </w:rPr>
      </w:pPr>
    </w:p>
    <w:p w14:paraId="26EA40C4" w14:textId="6F999435" w:rsidR="0052560B" w:rsidRPr="00A27594" w:rsidRDefault="005205FC" w:rsidP="005205FC">
      <w:pPr>
        <w:pStyle w:val="Heading1"/>
        <w:rPr>
          <w:rStyle w:val="Strong"/>
        </w:rPr>
      </w:pPr>
      <w:r w:rsidRPr="005205FC">
        <w:rPr>
          <w:rStyle w:val="Strong"/>
          <w:b/>
        </w:rPr>
        <w:lastRenderedPageBreak/>
        <w:t>13.</w:t>
      </w:r>
      <w:r>
        <w:rPr>
          <w:rStyle w:val="Strong"/>
        </w:rPr>
        <w:t xml:space="preserve"> </w:t>
      </w:r>
      <w:r w:rsidR="0052560B" w:rsidRPr="005205FC">
        <w:t>Information meeting and/or site visit</w:t>
      </w:r>
    </w:p>
    <w:p w14:paraId="03C36AE2" w14:textId="438071C8" w:rsidR="0052560B" w:rsidRPr="00A27594" w:rsidRDefault="0052560B" w:rsidP="00A27594">
      <w:pPr>
        <w:rPr>
          <w:lang w:val="en-US"/>
        </w:rPr>
      </w:pPr>
      <w:r w:rsidRPr="00A27594">
        <w:rPr>
          <w:lang w:val="en-US"/>
        </w:rPr>
        <w:t>No information meeting is planned</w:t>
      </w:r>
      <w:r w:rsidR="002A7BFC">
        <w:rPr>
          <w:lang w:val="en-US"/>
        </w:rPr>
        <w:t>.</w:t>
      </w:r>
    </w:p>
    <w:p w14:paraId="7AE8251B" w14:textId="3199D635" w:rsidR="0052560B" w:rsidRPr="002A7BFC" w:rsidRDefault="002A7BFC" w:rsidP="002A7BFC">
      <w:pPr>
        <w:pStyle w:val="Heading1"/>
        <w:rPr>
          <w:rStyle w:val="Strong"/>
          <w:b/>
        </w:rPr>
      </w:pPr>
      <w:r w:rsidRPr="002A7BFC">
        <w:rPr>
          <w:rStyle w:val="Strong"/>
          <w:b/>
        </w:rPr>
        <w:t xml:space="preserve">14. </w:t>
      </w:r>
      <w:r w:rsidR="0052560B" w:rsidRPr="002A7BFC">
        <w:rPr>
          <w:rStyle w:val="Heading1Char"/>
          <w:b/>
        </w:rPr>
        <w:t>Tender validity</w:t>
      </w:r>
    </w:p>
    <w:p w14:paraId="36E4882D" w14:textId="77777777" w:rsidR="0052560B" w:rsidRPr="00A27594" w:rsidRDefault="0052560B" w:rsidP="00A27594">
      <w:pPr>
        <w:rPr>
          <w:lang w:val="en-US"/>
        </w:rPr>
      </w:pPr>
      <w:r w:rsidRPr="00A27594">
        <w:rPr>
          <w:lang w:val="en-US"/>
        </w:rPr>
        <w:t>Tenders must remain valid for a period of 90 days after the deadline for submission of tenders. In exceptional circumstances, the Contracting Authority may, before the validity period expires, request that tenderers extend the validity of tenders for a specific period (see para 8.2 of the instructions to tenderers).</w:t>
      </w:r>
    </w:p>
    <w:p w14:paraId="7848FA7D" w14:textId="604692E4" w:rsidR="0052560B" w:rsidRPr="002A7BFC" w:rsidRDefault="002A7BFC" w:rsidP="002A7BFC">
      <w:pPr>
        <w:pStyle w:val="Heading1"/>
        <w:rPr>
          <w:rStyle w:val="Strong"/>
          <w:b/>
        </w:rPr>
      </w:pPr>
      <w:r w:rsidRPr="002A7BFC">
        <w:rPr>
          <w:rStyle w:val="Strong"/>
          <w:b/>
        </w:rPr>
        <w:t xml:space="preserve">15. </w:t>
      </w:r>
      <w:r w:rsidR="0052560B" w:rsidRPr="002A7BFC">
        <w:rPr>
          <w:rStyle w:val="Strong"/>
          <w:b/>
        </w:rPr>
        <w:t>Period of implementation of tasks</w:t>
      </w:r>
    </w:p>
    <w:p w14:paraId="22BE8CF1" w14:textId="77777777" w:rsidR="0052560B" w:rsidRPr="00A27594" w:rsidRDefault="0052560B" w:rsidP="00A27594">
      <w:pPr>
        <w:rPr>
          <w:lang w:val="en-US"/>
        </w:rPr>
      </w:pPr>
      <w:r w:rsidRPr="00A27594">
        <w:rPr>
          <w:lang w:val="en-US"/>
        </w:rPr>
        <w:t>60 days</w:t>
      </w:r>
    </w:p>
    <w:p w14:paraId="0331B306" w14:textId="5D1D4C64" w:rsidR="0052560B" w:rsidRPr="00A27594" w:rsidRDefault="0052560B" w:rsidP="00A27594">
      <w:pPr>
        <w:rPr>
          <w:lang w:val="en-US"/>
        </w:rPr>
      </w:pPr>
      <w:r w:rsidRPr="00A27594">
        <w:rPr>
          <w:noProof/>
          <w:lang w:val="ro-RO" w:eastAsia="ro-RO"/>
        </w:rPr>
        <mc:AlternateContent>
          <mc:Choice Requires="wps">
            <w:drawing>
              <wp:anchor distT="0" distB="0" distL="114300" distR="114300" simplePos="0" relativeHeight="251662336" behindDoc="0" locked="0" layoutInCell="0" allowOverlap="1" wp14:anchorId="580F35FC" wp14:editId="6BDB74D0">
                <wp:simplePos x="0" y="0"/>
                <wp:positionH relativeFrom="column">
                  <wp:posOffset>0</wp:posOffset>
                </wp:positionH>
                <wp:positionV relativeFrom="paragraph">
                  <wp:posOffset>259715</wp:posOffset>
                </wp:positionV>
                <wp:extent cx="5943600" cy="635"/>
                <wp:effectExtent l="13970" t="24130" r="14605" b="1333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F6CA3" id="Straight Connector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" o:allowincell="f" strokecolor="#d4d4d4" strokeweight="1.75pt">
                <v:shadow on="t" origin="-.5,-.5" offset="0,-1pt"/>
              </v:line>
            </w:pict>
          </mc:Fallback>
        </mc:AlternateContent>
      </w:r>
    </w:p>
    <w:p w14:paraId="24ADACDF" w14:textId="77777777" w:rsidR="0052560B" w:rsidRPr="002A7BFC" w:rsidRDefault="0052560B" w:rsidP="002A7BFC">
      <w:pPr>
        <w:pStyle w:val="Subtitle"/>
        <w:rPr>
          <w:rStyle w:val="Strong"/>
          <w:b/>
        </w:rPr>
      </w:pPr>
      <w:r w:rsidRPr="002A7BFC">
        <w:rPr>
          <w:rStyle w:val="Strong"/>
          <w:b/>
        </w:rPr>
        <w:t>SELECTION AND AWARD CRITERIA</w:t>
      </w:r>
    </w:p>
    <w:p w14:paraId="35CDA9A0" w14:textId="6716B826" w:rsidR="0052560B" w:rsidRPr="002A7BFC" w:rsidRDefault="002A7BFC" w:rsidP="002A7BFC">
      <w:pPr>
        <w:pStyle w:val="Heading1"/>
        <w:rPr>
          <w:rStyle w:val="Strong"/>
          <w:b/>
        </w:rPr>
      </w:pPr>
      <w:r w:rsidRPr="002A7BFC">
        <w:rPr>
          <w:rStyle w:val="Strong"/>
          <w:b/>
        </w:rPr>
        <w:t xml:space="preserve">16. </w:t>
      </w:r>
      <w:r w:rsidR="0052560B" w:rsidRPr="002A7BFC">
        <w:rPr>
          <w:rStyle w:val="Strong"/>
          <w:b/>
        </w:rPr>
        <w:t xml:space="preserve">Selection criteria </w:t>
      </w:r>
    </w:p>
    <w:p w14:paraId="2DF13BF6" w14:textId="77777777" w:rsidR="0052560B" w:rsidRPr="00A27594" w:rsidRDefault="0052560B" w:rsidP="00A27594">
      <w:pPr>
        <w:rPr>
          <w:lang w:val="en-US"/>
        </w:rPr>
      </w:pPr>
      <w:r w:rsidRPr="00A27594">
        <w:rPr>
          <w:lang w:val="en-US"/>
        </w:rPr>
        <w:t xml:space="preserve">The following selection criteria will be applied to tenderers. In the case of tenders submitted by a consortium, these selection criteria will be applied to the consortium </w:t>
      </w:r>
      <w:proofErr w:type="gramStart"/>
      <w:r w:rsidRPr="00A27594">
        <w:rPr>
          <w:lang w:val="en-US"/>
        </w:rPr>
        <w:t>as a whole unless</w:t>
      </w:r>
      <w:proofErr w:type="gramEnd"/>
      <w:r w:rsidRPr="00A27594">
        <w:rPr>
          <w:lang w:val="en-US"/>
        </w:rPr>
        <w:t xml:space="preserve"> specified otherwise. The selection criteria will not be applied to natural persons and single-member companies when they are sub-contractors:</w:t>
      </w:r>
    </w:p>
    <w:p w14:paraId="1A96283B" w14:textId="77777777" w:rsidR="0052560B" w:rsidRPr="00A27594" w:rsidRDefault="0052560B" w:rsidP="00A27594">
      <w:pPr>
        <w:rPr>
          <w:lang w:val="en-US"/>
        </w:rPr>
      </w:pPr>
      <w:r w:rsidRPr="00A27594">
        <w:rPr>
          <w:lang w:val="en-US"/>
        </w:rPr>
        <w:t>1)</w:t>
      </w:r>
      <w:r w:rsidRPr="00A27594">
        <w:rPr>
          <w:lang w:val="en-US"/>
        </w:rPr>
        <w:tab/>
      </w:r>
      <w:r w:rsidRPr="002A7BFC">
        <w:rPr>
          <w:b/>
          <w:lang w:val="en-US"/>
        </w:rPr>
        <w:t>Economic and financial capacity of tenderer</w:t>
      </w:r>
      <w:r w:rsidRPr="00A27594">
        <w:rPr>
          <w:i/>
          <w:lang w:val="en-US"/>
        </w:rPr>
        <w:t xml:space="preserve"> </w:t>
      </w:r>
      <w:r w:rsidRPr="00A27594">
        <w:rPr>
          <w:lang w:val="en-US"/>
        </w:rPr>
        <w:t xml:space="preserve">(based on </w:t>
      </w:r>
      <w:proofErr w:type="spellStart"/>
      <w:r w:rsidRPr="00A27594">
        <w:rPr>
          <w:lang w:val="en-US"/>
        </w:rPr>
        <w:t>i.a.</w:t>
      </w:r>
      <w:proofErr w:type="spellEnd"/>
      <w:r w:rsidRPr="00A27594">
        <w:rPr>
          <w:lang w:val="en-US"/>
        </w:rPr>
        <w:t xml:space="preserve"> item 3 of the Tender Form for a Supply Contract). In case of tenderer being a public body, equivalent information should be provided. The reference period which will be </w:t>
      </w:r>
      <w:proofErr w:type="gramStart"/>
      <w:r w:rsidRPr="00A27594">
        <w:rPr>
          <w:lang w:val="en-US"/>
        </w:rPr>
        <w:t>taken into account</w:t>
      </w:r>
      <w:proofErr w:type="gramEnd"/>
      <w:r w:rsidRPr="00A27594">
        <w:rPr>
          <w:lang w:val="en-US"/>
        </w:rPr>
        <w:t xml:space="preserve"> will be the last three years for which accounts have been closed.</w:t>
      </w:r>
    </w:p>
    <w:p w14:paraId="0D922D70" w14:textId="77777777" w:rsidR="0052560B" w:rsidRPr="00A27594" w:rsidRDefault="0052560B" w:rsidP="00A27594">
      <w:pPr>
        <w:rPr>
          <w:lang w:val="en-US"/>
        </w:rPr>
      </w:pPr>
      <w:r w:rsidRPr="00A27594">
        <w:rPr>
          <w:lang w:val="en-US"/>
        </w:rPr>
        <w:t>The selection criteria for each tenderer are as follows:</w:t>
      </w:r>
    </w:p>
    <w:p w14:paraId="3BE5D889" w14:textId="77777777" w:rsidR="0052560B" w:rsidRPr="002A7BFC" w:rsidRDefault="0052560B" w:rsidP="00A27594">
      <w:pPr>
        <w:rPr>
          <w:b/>
          <w:lang w:val="en-US"/>
        </w:rPr>
      </w:pPr>
      <w:r w:rsidRPr="002A7BFC">
        <w:rPr>
          <w:b/>
          <w:lang w:val="en-US"/>
        </w:rPr>
        <w:t>Criteria for legal persons:</w:t>
      </w:r>
    </w:p>
    <w:p w14:paraId="7BB0D81B" w14:textId="0B79E540" w:rsidR="0052560B" w:rsidRDefault="0052560B" w:rsidP="002A7BFC">
      <w:pPr>
        <w:pStyle w:val="ListParagraph"/>
        <w:numPr>
          <w:ilvl w:val="0"/>
          <w:numId w:val="25"/>
        </w:numPr>
        <w:rPr>
          <w:lang w:val="en-US"/>
        </w:rPr>
      </w:pPr>
      <w:r w:rsidRPr="002A7BFC">
        <w:rPr>
          <w:lang w:val="en-US"/>
        </w:rPr>
        <w:t xml:space="preserve">The average annual turnover of the tenderer must exceed the </w:t>
      </w:r>
      <w:r w:rsidR="002A7BFC" w:rsidRPr="002A7BFC">
        <w:rPr>
          <w:lang w:val="en-US"/>
        </w:rPr>
        <w:t>annualized</w:t>
      </w:r>
      <w:r w:rsidRPr="002A7BFC">
        <w:rPr>
          <w:lang w:val="en-US"/>
        </w:rPr>
        <w:t xml:space="preserve"> maximum budget of the contract</w:t>
      </w:r>
      <w:r w:rsidR="002A7BFC">
        <w:rPr>
          <w:lang w:val="en-US"/>
        </w:rPr>
        <w:t>.</w:t>
      </w:r>
      <w:r w:rsidRPr="002A7BFC">
        <w:rPr>
          <w:lang w:val="en-US"/>
        </w:rPr>
        <w:t xml:space="preserve"> </w:t>
      </w:r>
    </w:p>
    <w:p w14:paraId="5E5C8F35" w14:textId="77777777" w:rsidR="00DD0B74" w:rsidRPr="002A7BFC" w:rsidRDefault="00DD0B74" w:rsidP="00DD0B74">
      <w:pPr>
        <w:pStyle w:val="ListParagraph"/>
        <w:ind w:left="360"/>
        <w:rPr>
          <w:lang w:val="en-US"/>
        </w:rPr>
      </w:pPr>
    </w:p>
    <w:p w14:paraId="4E3B4EB2" w14:textId="77777777" w:rsidR="0052560B" w:rsidRPr="00D64CC3" w:rsidRDefault="0052560B" w:rsidP="00A27594">
      <w:pPr>
        <w:rPr>
          <w:b/>
          <w:lang w:val="en-US"/>
        </w:rPr>
      </w:pPr>
      <w:r w:rsidRPr="00D64CC3">
        <w:rPr>
          <w:b/>
          <w:lang w:val="en-US"/>
        </w:rPr>
        <w:t>Criteria for natural persons:</w:t>
      </w:r>
    </w:p>
    <w:p w14:paraId="5446D755" w14:textId="7E1F0BF2" w:rsidR="0052560B" w:rsidRPr="00D64CC3" w:rsidRDefault="0052560B" w:rsidP="00D64CC3">
      <w:pPr>
        <w:pStyle w:val="ListParagraph"/>
        <w:numPr>
          <w:ilvl w:val="0"/>
          <w:numId w:val="26"/>
        </w:numPr>
        <w:rPr>
          <w:lang w:val="en-US"/>
        </w:rPr>
      </w:pPr>
      <w:r w:rsidRPr="00D64CC3">
        <w:rPr>
          <w:lang w:val="en-US"/>
        </w:rPr>
        <w:t xml:space="preserve">The available financial resources of the tenderer must exceed the </w:t>
      </w:r>
      <w:r w:rsidR="00D64CC3" w:rsidRPr="00D64CC3">
        <w:rPr>
          <w:lang w:val="en-US"/>
        </w:rPr>
        <w:t>annualized</w:t>
      </w:r>
      <w:r w:rsidRPr="00D64CC3">
        <w:rPr>
          <w:lang w:val="en-US"/>
        </w:rPr>
        <w:t xml:space="preserve"> maximum budget of the contract</w:t>
      </w:r>
      <w:r w:rsidR="00DD0B74">
        <w:rPr>
          <w:lang w:val="en-US"/>
        </w:rPr>
        <w:t>.</w:t>
      </w:r>
    </w:p>
    <w:p w14:paraId="228760B5" w14:textId="77777777" w:rsidR="0052560B" w:rsidRPr="00A27594" w:rsidRDefault="0052560B" w:rsidP="00A27594">
      <w:pPr>
        <w:rPr>
          <w:lang w:val="en-US"/>
        </w:rPr>
      </w:pPr>
    </w:p>
    <w:p w14:paraId="3E95B421" w14:textId="77777777" w:rsidR="0052560B" w:rsidRPr="00A27594" w:rsidRDefault="0052560B" w:rsidP="00A27594">
      <w:pPr>
        <w:rPr>
          <w:lang w:val="en-US"/>
        </w:rPr>
      </w:pPr>
      <w:r w:rsidRPr="00A27594">
        <w:rPr>
          <w:lang w:val="en-US"/>
        </w:rPr>
        <w:t>2)</w:t>
      </w:r>
      <w:r w:rsidRPr="00A27594">
        <w:rPr>
          <w:lang w:val="en-US"/>
        </w:rPr>
        <w:tab/>
      </w:r>
      <w:r w:rsidRPr="00D64CC3">
        <w:rPr>
          <w:b/>
          <w:lang w:val="en-US"/>
        </w:rPr>
        <w:t>Professional capacity of tenderer</w:t>
      </w:r>
      <w:r w:rsidRPr="00A27594">
        <w:rPr>
          <w:lang w:val="en-US"/>
        </w:rPr>
        <w:t xml:space="preserve"> (based on </w:t>
      </w:r>
      <w:proofErr w:type="spellStart"/>
      <w:r w:rsidRPr="00A27594">
        <w:rPr>
          <w:lang w:val="en-US"/>
        </w:rPr>
        <w:t>i.a.</w:t>
      </w:r>
      <w:proofErr w:type="spellEnd"/>
      <w:r w:rsidRPr="00A27594">
        <w:rPr>
          <w:lang w:val="en-US"/>
        </w:rPr>
        <w:t xml:space="preserve"> items 4 and 5 of the Tender Form for a Supply Contract). The reference period which will be </w:t>
      </w:r>
      <w:proofErr w:type="gramStart"/>
      <w:r w:rsidRPr="00A27594">
        <w:rPr>
          <w:lang w:val="en-US"/>
        </w:rPr>
        <w:t>taken into account</w:t>
      </w:r>
      <w:proofErr w:type="gramEnd"/>
      <w:r w:rsidRPr="00A27594">
        <w:rPr>
          <w:lang w:val="en-US"/>
        </w:rPr>
        <w:t xml:space="preserve"> will be the last 5 years from submission deadline.</w:t>
      </w:r>
    </w:p>
    <w:p w14:paraId="102C2E8F" w14:textId="77777777" w:rsidR="0052560B" w:rsidRPr="00D64CC3" w:rsidRDefault="0052560B" w:rsidP="00A27594">
      <w:pPr>
        <w:rPr>
          <w:b/>
          <w:lang w:val="en-US"/>
        </w:rPr>
      </w:pPr>
      <w:r w:rsidRPr="00D64CC3">
        <w:rPr>
          <w:b/>
          <w:lang w:val="en-US"/>
        </w:rPr>
        <w:t>Criteria for legal persons:</w:t>
      </w:r>
    </w:p>
    <w:p w14:paraId="0A02CBE4" w14:textId="6F28FBF1" w:rsidR="0052560B" w:rsidRPr="00D64CC3" w:rsidRDefault="0052560B" w:rsidP="00D64CC3">
      <w:pPr>
        <w:pStyle w:val="ListParagraph"/>
        <w:numPr>
          <w:ilvl w:val="0"/>
          <w:numId w:val="27"/>
        </w:numPr>
        <w:rPr>
          <w:lang w:val="en-US"/>
        </w:rPr>
      </w:pPr>
      <w:r w:rsidRPr="00D64CC3">
        <w:rPr>
          <w:lang w:val="en-US"/>
        </w:rPr>
        <w:lastRenderedPageBreak/>
        <w:t xml:space="preserve">To have minimum one staff member appointed for this contract </w:t>
      </w:r>
      <w:r w:rsidR="00D64CC3">
        <w:rPr>
          <w:lang w:val="en-US"/>
        </w:rPr>
        <w:t xml:space="preserve">with </w:t>
      </w:r>
      <w:r w:rsidR="00D64CC3" w:rsidRPr="00D64CC3">
        <w:rPr>
          <w:lang w:val="en-US"/>
        </w:rPr>
        <w:t>expertise required for this contract</w:t>
      </w:r>
      <w:r w:rsidR="00D64CC3">
        <w:rPr>
          <w:lang w:val="en-US"/>
        </w:rPr>
        <w:t>.</w:t>
      </w:r>
    </w:p>
    <w:p w14:paraId="28549630" w14:textId="77777777" w:rsidR="0052560B" w:rsidRPr="00D64CC3" w:rsidRDefault="0052560B" w:rsidP="00A27594">
      <w:pPr>
        <w:rPr>
          <w:b/>
          <w:lang w:val="en-US"/>
        </w:rPr>
      </w:pPr>
      <w:r w:rsidRPr="00D64CC3">
        <w:rPr>
          <w:b/>
          <w:lang w:val="en-US"/>
        </w:rPr>
        <w:t>Criteria for natural persons:</w:t>
      </w:r>
    </w:p>
    <w:p w14:paraId="5012774B" w14:textId="509F23BE" w:rsidR="0052560B" w:rsidRPr="00D64CC3" w:rsidRDefault="0052560B" w:rsidP="00D64CC3">
      <w:pPr>
        <w:pStyle w:val="ListParagraph"/>
        <w:numPr>
          <w:ilvl w:val="0"/>
          <w:numId w:val="27"/>
        </w:numPr>
        <w:rPr>
          <w:lang w:val="en-US"/>
        </w:rPr>
      </w:pPr>
      <w:r w:rsidRPr="00D64CC3">
        <w:rPr>
          <w:lang w:val="en-US"/>
        </w:rPr>
        <w:t xml:space="preserve">Has a professional certificate for laboratory </w:t>
      </w:r>
      <w:r w:rsidR="00D64CC3" w:rsidRPr="00D64CC3">
        <w:rPr>
          <w:lang w:val="en-US"/>
        </w:rPr>
        <w:t>equipment</w:t>
      </w:r>
    </w:p>
    <w:p w14:paraId="6F775980" w14:textId="77777777" w:rsidR="0052560B" w:rsidRDefault="0052560B" w:rsidP="00A27594">
      <w:pPr>
        <w:rPr>
          <w:lang w:val="en-US"/>
        </w:rPr>
      </w:pPr>
      <w:r w:rsidRPr="00A27594">
        <w:rPr>
          <w:lang w:val="en-US"/>
        </w:rPr>
        <w:t>3)</w:t>
      </w:r>
      <w:r w:rsidRPr="00A27594">
        <w:rPr>
          <w:lang w:val="en-US"/>
        </w:rPr>
        <w:tab/>
      </w:r>
      <w:r w:rsidRPr="00D64CC3">
        <w:rPr>
          <w:b/>
          <w:lang w:val="en-US"/>
        </w:rPr>
        <w:t>Technical capacity of tenderer</w:t>
      </w:r>
      <w:r w:rsidRPr="00A27594">
        <w:rPr>
          <w:lang w:val="en-US"/>
        </w:rPr>
        <w:t xml:space="preserve"> </w:t>
      </w:r>
      <w:r w:rsidRPr="00A27594">
        <w:rPr>
          <w:i/>
          <w:lang w:val="en-US"/>
        </w:rPr>
        <w:t>(</w:t>
      </w:r>
      <w:r w:rsidRPr="00A27594">
        <w:rPr>
          <w:lang w:val="en-US"/>
        </w:rPr>
        <w:t xml:space="preserve">based on </w:t>
      </w:r>
      <w:proofErr w:type="spellStart"/>
      <w:r w:rsidRPr="00A27594">
        <w:rPr>
          <w:lang w:val="en-US"/>
        </w:rPr>
        <w:t>i.a.</w:t>
      </w:r>
      <w:proofErr w:type="spellEnd"/>
      <w:r w:rsidRPr="00A27594">
        <w:rPr>
          <w:lang w:val="en-US"/>
        </w:rPr>
        <w:t xml:space="preserve"> items 5 and 6 of the Tender Form for a Supply Contract). The reference period which will be </w:t>
      </w:r>
      <w:proofErr w:type="gramStart"/>
      <w:r w:rsidRPr="00A27594">
        <w:rPr>
          <w:lang w:val="en-US"/>
        </w:rPr>
        <w:t>taken into account</w:t>
      </w:r>
      <w:proofErr w:type="gramEnd"/>
      <w:r w:rsidRPr="00A27594">
        <w:rPr>
          <w:lang w:val="en-US"/>
        </w:rPr>
        <w:t xml:space="preserve"> will be the last 5 years from submission deadline.</w:t>
      </w:r>
    </w:p>
    <w:p w14:paraId="50B17ADC" w14:textId="77777777" w:rsidR="0052560B" w:rsidRPr="007054F0" w:rsidRDefault="0052560B" w:rsidP="00A27594">
      <w:pPr>
        <w:rPr>
          <w:b/>
          <w:lang w:val="en-US"/>
        </w:rPr>
      </w:pPr>
      <w:r w:rsidRPr="007054F0">
        <w:rPr>
          <w:b/>
          <w:lang w:val="en-US"/>
        </w:rPr>
        <w:t>Criterion for legal and natural persons:</w:t>
      </w:r>
    </w:p>
    <w:p w14:paraId="43C33166" w14:textId="197C4C6A" w:rsidR="0052560B" w:rsidRPr="00A833BA" w:rsidRDefault="0052560B" w:rsidP="007054F0">
      <w:pPr>
        <w:pStyle w:val="ListParagraph"/>
        <w:numPr>
          <w:ilvl w:val="0"/>
          <w:numId w:val="27"/>
        </w:numPr>
        <w:rPr>
          <w:lang w:val="en-US"/>
        </w:rPr>
      </w:pPr>
      <w:r w:rsidRPr="00A833BA">
        <w:rPr>
          <w:lang w:val="en-US"/>
        </w:rPr>
        <w:t>The tenderer has delivered supplies under at least 1 contract</w:t>
      </w:r>
      <w:r w:rsidR="001E563F" w:rsidRPr="00A833BA">
        <w:rPr>
          <w:lang w:val="en-US"/>
        </w:rPr>
        <w:t xml:space="preserve"> </w:t>
      </w:r>
      <w:r w:rsidRPr="00A833BA">
        <w:rPr>
          <w:lang w:val="en-US"/>
        </w:rPr>
        <w:t xml:space="preserve">with a budget of </w:t>
      </w:r>
      <w:r w:rsidR="001E563F" w:rsidRPr="00A833BA">
        <w:rPr>
          <w:lang w:val="en-US"/>
        </w:rPr>
        <w:t>(max 3 contracts</w:t>
      </w:r>
      <w:r w:rsidR="001E563F" w:rsidRPr="00A833BA">
        <w:rPr>
          <w:lang w:val="en-US"/>
        </w:rPr>
        <w:t>, with cumulated budget of</w:t>
      </w:r>
      <w:r w:rsidR="001E563F" w:rsidRPr="00A833BA">
        <w:rPr>
          <w:lang w:val="en-US"/>
        </w:rPr>
        <w:t xml:space="preserve">) </w:t>
      </w:r>
      <w:r w:rsidRPr="00A833BA">
        <w:rPr>
          <w:lang w:val="en-US"/>
        </w:rPr>
        <w:t>at least the same budget as it is offered</w:t>
      </w:r>
      <w:r w:rsidR="00A833BA" w:rsidRPr="00A833BA">
        <w:rPr>
          <w:lang w:val="en-US"/>
        </w:rPr>
        <w:t>,</w:t>
      </w:r>
      <w:r w:rsidRPr="00A833BA">
        <w:rPr>
          <w:lang w:val="en-US"/>
        </w:rPr>
        <w:t xml:space="preserve"> in the field of selling laboratory </w:t>
      </w:r>
      <w:r w:rsidR="007054F0" w:rsidRPr="00A833BA">
        <w:rPr>
          <w:lang w:val="en-US"/>
        </w:rPr>
        <w:t>equipment and laboratory supplies</w:t>
      </w:r>
      <w:r w:rsidR="001E563F" w:rsidRPr="00A833BA">
        <w:rPr>
          <w:lang w:val="en-US"/>
        </w:rPr>
        <w:t>,</w:t>
      </w:r>
      <w:r w:rsidRPr="00A833BA">
        <w:rPr>
          <w:lang w:val="en-US"/>
        </w:rPr>
        <w:t xml:space="preserve"> which were implemented during </w:t>
      </w:r>
      <w:r w:rsidR="00A833BA" w:rsidRPr="00A833BA">
        <w:rPr>
          <w:lang w:val="en-US"/>
        </w:rPr>
        <w:t xml:space="preserve">the last </w:t>
      </w:r>
      <w:r w:rsidR="00EF475D" w:rsidRPr="00A833BA">
        <w:rPr>
          <w:lang w:val="en-US"/>
        </w:rPr>
        <w:t>3</w:t>
      </w:r>
      <w:r w:rsidRPr="00A833BA">
        <w:rPr>
          <w:lang w:val="en-US"/>
        </w:rPr>
        <w:t xml:space="preserve"> years </w:t>
      </w:r>
      <w:r w:rsidR="00A833BA" w:rsidRPr="00A833BA">
        <w:rPr>
          <w:lang w:val="en-US"/>
        </w:rPr>
        <w:t>before</w:t>
      </w:r>
      <w:r w:rsidRPr="00A833BA">
        <w:rPr>
          <w:lang w:val="en-US"/>
        </w:rPr>
        <w:t xml:space="preserve"> the submission deadline.</w:t>
      </w:r>
    </w:p>
    <w:p w14:paraId="324AE9FA" w14:textId="77777777" w:rsidR="0052560B" w:rsidRPr="00A27594" w:rsidRDefault="0052560B" w:rsidP="00A27594">
      <w:pPr>
        <w:rPr>
          <w:lang w:val="en-US"/>
        </w:rPr>
      </w:pPr>
      <w:r w:rsidRPr="00A27594">
        <w:rPr>
          <w:lang w:val="en-US"/>
        </w:rPr>
        <w:t xml:space="preserve">This means that the contract the tenderer refers to could have been started or completed at any time during the indicated </w:t>
      </w:r>
      <w:proofErr w:type="gramStart"/>
      <w:r w:rsidRPr="00A27594">
        <w:rPr>
          <w:lang w:val="en-US"/>
        </w:rPr>
        <w:t>period</w:t>
      </w:r>
      <w:proofErr w:type="gramEnd"/>
      <w:r w:rsidRPr="00A27594">
        <w:rPr>
          <w:lang w:val="en-US"/>
        </w:rPr>
        <w:t xml:space="preserve"> but it does not necessarily have to be started and completed during that period, nor implemented during the entire period. Tenderers </w:t>
      </w:r>
      <w:proofErr w:type="gramStart"/>
      <w:r w:rsidRPr="00A27594">
        <w:rPr>
          <w:lang w:val="en-US"/>
        </w:rPr>
        <w:t>are allowed to</w:t>
      </w:r>
      <w:proofErr w:type="gramEnd"/>
      <w:r w:rsidRPr="00A27594">
        <w:rPr>
          <w:lang w:val="en-US"/>
        </w:rPr>
        <w:t xml:space="preserve">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7EFEE014" w14:textId="4249D58F" w:rsidR="0052560B" w:rsidRPr="00A27594" w:rsidRDefault="007054F0" w:rsidP="007054F0">
      <w:pPr>
        <w:pStyle w:val="Heading1"/>
        <w:rPr>
          <w:rStyle w:val="Strong"/>
        </w:rPr>
      </w:pPr>
      <w:r>
        <w:rPr>
          <w:rStyle w:val="Strong"/>
        </w:rPr>
        <w:t xml:space="preserve">17. </w:t>
      </w:r>
      <w:r w:rsidR="0052560B" w:rsidRPr="00A27594">
        <w:rPr>
          <w:rStyle w:val="Strong"/>
        </w:rPr>
        <w:t>Award criteria</w:t>
      </w:r>
    </w:p>
    <w:p w14:paraId="12E74B51" w14:textId="77777777" w:rsidR="0052560B" w:rsidRDefault="0052560B" w:rsidP="00A27594">
      <w:pPr>
        <w:rPr>
          <w:lang w:val="en-US"/>
        </w:rPr>
      </w:pPr>
      <w:r w:rsidRPr="00A27594">
        <w:rPr>
          <w:lang w:val="en-US"/>
        </w:rPr>
        <w:t>Price</w:t>
      </w:r>
    </w:p>
    <w:p w14:paraId="28BA4946" w14:textId="77777777" w:rsidR="007054F0" w:rsidRPr="00A27594" w:rsidRDefault="007054F0" w:rsidP="00A27594">
      <w:pPr>
        <w:rPr>
          <w:lang w:val="en-US"/>
        </w:rPr>
      </w:pPr>
    </w:p>
    <w:p w14:paraId="4E411334" w14:textId="1E8EB1F2" w:rsidR="0052560B" w:rsidRPr="007054F0" w:rsidRDefault="0052560B" w:rsidP="007054F0">
      <w:pPr>
        <w:pStyle w:val="Subtitle"/>
        <w:rPr>
          <w:rStyle w:val="Strong"/>
        </w:rPr>
      </w:pPr>
      <w:r w:rsidRPr="007054F0">
        <w:rPr>
          <w:noProof/>
          <w:lang w:val="ro-RO" w:eastAsia="ro-RO"/>
        </w:rPr>
        <mc:AlternateContent>
          <mc:Choice Requires="wps">
            <w:drawing>
              <wp:anchor distT="0" distB="0" distL="114300" distR="114300" simplePos="0" relativeHeight="251663360" behindDoc="0" locked="0" layoutInCell="0" allowOverlap="1" wp14:anchorId="5A96E6B4" wp14:editId="55184151">
                <wp:simplePos x="0" y="0"/>
                <wp:positionH relativeFrom="column">
                  <wp:posOffset>0</wp:posOffset>
                </wp:positionH>
                <wp:positionV relativeFrom="paragraph">
                  <wp:posOffset>243205</wp:posOffset>
                </wp:positionV>
                <wp:extent cx="5943600" cy="635"/>
                <wp:effectExtent l="13970" t="28575" r="14605" b="1841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BAC58"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9.15pt" to="468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" o:allowincell="f" strokecolor="#d4d4d4" strokeweight="1.75pt">
                <v:shadow on="t" origin="-.5,-.5" offset="0,-1pt"/>
              </v:line>
            </w:pict>
          </mc:Fallback>
        </mc:AlternateContent>
      </w:r>
      <w:r w:rsidRPr="007054F0">
        <w:rPr>
          <w:rStyle w:val="Strong"/>
        </w:rPr>
        <w:t>TENDERING</w:t>
      </w:r>
    </w:p>
    <w:p w14:paraId="318A953F" w14:textId="65CF8F0D" w:rsidR="0052560B" w:rsidRPr="007054F0" w:rsidRDefault="007054F0" w:rsidP="007054F0">
      <w:pPr>
        <w:pStyle w:val="Heading1"/>
        <w:rPr>
          <w:rStyle w:val="Strong"/>
          <w:b/>
        </w:rPr>
      </w:pPr>
      <w:r w:rsidRPr="007054F0">
        <w:rPr>
          <w:rStyle w:val="Strong"/>
          <w:b/>
        </w:rPr>
        <w:t xml:space="preserve">18. </w:t>
      </w:r>
      <w:r w:rsidR="0052560B" w:rsidRPr="007054F0">
        <w:rPr>
          <w:rStyle w:val="Strong"/>
          <w:b/>
        </w:rPr>
        <w:t>How to obtain the tender dossier</w:t>
      </w:r>
    </w:p>
    <w:p w14:paraId="2C8C662F" w14:textId="77777777" w:rsidR="0052560B" w:rsidRPr="00A27594" w:rsidRDefault="0052560B" w:rsidP="00A27594">
      <w:pPr>
        <w:rPr>
          <w:lang w:val="en-US"/>
        </w:rPr>
      </w:pPr>
      <w:r w:rsidRPr="00A27594">
        <w:rPr>
          <w:lang w:val="en-US"/>
        </w:rPr>
        <w:t xml:space="preserve">The tender dossier is available from the following Internet address: </w:t>
      </w:r>
      <w:hyperlink r:id="rId8" w:history="1">
        <w:r w:rsidRPr="00A27594">
          <w:rPr>
            <w:rStyle w:val="Hyperlink"/>
            <w:lang w:val="en-US"/>
          </w:rPr>
          <w:t>http://www.romania-serbia.net/?page_id=2540</w:t>
        </w:r>
      </w:hyperlink>
      <w:r w:rsidRPr="00A27594">
        <w:rPr>
          <w:lang w:val="en-US"/>
        </w:rPr>
        <w:t xml:space="preserve"> The tender dossier is also available from the Contracting Authority. Tenders must be submitted using the standard Tender Form for a Supply Contract included in the tender dossier, whose format and instructions must be strictly observed.</w:t>
      </w:r>
    </w:p>
    <w:p w14:paraId="2138D9D1" w14:textId="26CF8DAD" w:rsidR="0052560B" w:rsidRPr="00A27594" w:rsidRDefault="0052560B" w:rsidP="00A27594">
      <w:pPr>
        <w:rPr>
          <w:lang w:val="en-US"/>
        </w:rPr>
      </w:pPr>
      <w:r w:rsidRPr="00A27594">
        <w:rPr>
          <w:lang w:val="en-US"/>
        </w:rPr>
        <w:t xml:space="preserve">Tenderers with questions regarding this tender should send them in writing to </w:t>
      </w:r>
      <w:hyperlink r:id="rId9" w:history="1">
        <w:r w:rsidR="00843C43" w:rsidRPr="00381968">
          <w:rPr>
            <w:rStyle w:val="Hyperlink"/>
            <w:lang w:val="en-US"/>
          </w:rPr>
          <w:t>vasile.ostafe@e-uvt.ro</w:t>
        </w:r>
      </w:hyperlink>
      <w:r w:rsidR="00843C43">
        <w:rPr>
          <w:lang w:val="en-US"/>
        </w:rPr>
        <w:t xml:space="preserve"> (or </w:t>
      </w:r>
      <w:hyperlink r:id="rId10" w:history="1">
        <w:r w:rsidR="00843C43" w:rsidRPr="00381968">
          <w:rPr>
            <w:rStyle w:val="Hyperlink"/>
            <w:lang w:val="en-US"/>
          </w:rPr>
          <w:t>vostafe@yahoo.com</w:t>
        </w:r>
      </w:hyperlink>
      <w:r w:rsidR="00843C43">
        <w:rPr>
          <w:lang w:val="en-US"/>
        </w:rPr>
        <w:t xml:space="preserve">) </w:t>
      </w:r>
      <w:r w:rsidRPr="00A27594">
        <w:rPr>
          <w:lang w:val="en-US"/>
        </w:rPr>
        <w:t xml:space="preserve">(mentioning the publication reference shown in item 1) at least 21 days before the deadline for submission of tenders given in item 19. The Contracting Authority must reply to all tenderers' questions at least 11 days before the deadline for submission of tenders. Eventual clarifications or minor changes to the tender dossier shall be published at the latest 11 days before the submission deadline on the </w:t>
      </w:r>
      <w:hyperlink r:id="rId11" w:history="1">
        <w:r w:rsidRPr="00A27594">
          <w:rPr>
            <w:rStyle w:val="Hyperlink"/>
            <w:lang w:val="en-US"/>
          </w:rPr>
          <w:t>http://www.romania-serbia.net/?page_id=2540</w:t>
        </w:r>
      </w:hyperlink>
    </w:p>
    <w:p w14:paraId="1D08D802" w14:textId="037AEB29" w:rsidR="0052560B" w:rsidRPr="00843C43" w:rsidRDefault="00843C43" w:rsidP="00843C43">
      <w:pPr>
        <w:pStyle w:val="Heading1"/>
        <w:rPr>
          <w:rStyle w:val="Strong"/>
          <w:b/>
        </w:rPr>
      </w:pPr>
      <w:r w:rsidRPr="00843C43">
        <w:rPr>
          <w:rStyle w:val="Strong"/>
          <w:b/>
        </w:rPr>
        <w:lastRenderedPageBreak/>
        <w:t xml:space="preserve">19. </w:t>
      </w:r>
      <w:r w:rsidR="0052560B" w:rsidRPr="00843C43">
        <w:rPr>
          <w:rStyle w:val="Strong"/>
          <w:b/>
        </w:rPr>
        <w:t>Deadline for submission of tenders</w:t>
      </w:r>
    </w:p>
    <w:p w14:paraId="7753773A" w14:textId="71C6E7C2" w:rsidR="0052560B" w:rsidRPr="00FE160E" w:rsidRDefault="0052560B" w:rsidP="00A27594">
      <w:pPr>
        <w:rPr>
          <w:lang w:val="en-US"/>
        </w:rPr>
      </w:pPr>
      <w:r w:rsidRPr="00A27594">
        <w:rPr>
          <w:lang w:val="en-US"/>
        </w:rPr>
        <w:t xml:space="preserve">The deadline for submission of </w:t>
      </w:r>
      <w:r w:rsidRPr="00FE160E">
        <w:rPr>
          <w:lang w:val="en-US"/>
        </w:rPr>
        <w:t xml:space="preserve">tenders is </w:t>
      </w:r>
      <w:r w:rsidR="0099691C">
        <w:rPr>
          <w:lang w:val="en-US"/>
        </w:rPr>
        <w:t>1</w:t>
      </w:r>
      <w:r w:rsidR="00060A16" w:rsidRPr="00FE160E">
        <w:rPr>
          <w:lang w:val="en-US"/>
        </w:rPr>
        <w:t>0.0</w:t>
      </w:r>
      <w:r w:rsidR="00FE160E" w:rsidRPr="00FE160E">
        <w:rPr>
          <w:lang w:val="en-US"/>
        </w:rPr>
        <w:t>4</w:t>
      </w:r>
      <w:r w:rsidR="00060A16" w:rsidRPr="00FE160E">
        <w:rPr>
          <w:lang w:val="en-US"/>
        </w:rPr>
        <w:t>.2020</w:t>
      </w:r>
      <w:r w:rsidRPr="00FE160E">
        <w:rPr>
          <w:lang w:val="en-US"/>
        </w:rPr>
        <w:t xml:space="preserve">, </w:t>
      </w:r>
      <w:r w:rsidR="00843C43" w:rsidRPr="00FE160E">
        <w:rPr>
          <w:lang w:val="en-US"/>
        </w:rPr>
        <w:t xml:space="preserve">Romanian </w:t>
      </w:r>
      <w:r w:rsidRPr="00FE160E">
        <w:rPr>
          <w:lang w:val="en-US"/>
        </w:rPr>
        <w:t xml:space="preserve">local time </w:t>
      </w:r>
      <w:r w:rsidR="00843C43" w:rsidRPr="00FE160E">
        <w:rPr>
          <w:lang w:val="en-US"/>
        </w:rPr>
        <w:t>1</w:t>
      </w:r>
      <w:r w:rsidR="00060A16" w:rsidRPr="00FE160E">
        <w:rPr>
          <w:lang w:val="en-US"/>
        </w:rPr>
        <w:t>2</w:t>
      </w:r>
      <w:r w:rsidRPr="00FE160E">
        <w:rPr>
          <w:lang w:val="en-US"/>
        </w:rPr>
        <w:t>:00.</w:t>
      </w:r>
    </w:p>
    <w:p w14:paraId="5811D63E" w14:textId="77777777" w:rsidR="0052560B" w:rsidRPr="00FE160E" w:rsidRDefault="0052560B" w:rsidP="00A27594">
      <w:pPr>
        <w:rPr>
          <w:lang w:val="en-US"/>
        </w:rPr>
      </w:pPr>
      <w:r w:rsidRPr="00FE160E">
        <w:rPr>
          <w:lang w:val="en-US"/>
        </w:rPr>
        <w:t>Any tender received by the Contracting Authority after this deadline will not be considered.</w:t>
      </w:r>
    </w:p>
    <w:p w14:paraId="3F54F133" w14:textId="7EBB393F" w:rsidR="0052560B" w:rsidRPr="00FE160E" w:rsidRDefault="00843C43" w:rsidP="00843C43">
      <w:pPr>
        <w:pStyle w:val="Heading1"/>
        <w:rPr>
          <w:rStyle w:val="Strong"/>
          <w:b/>
        </w:rPr>
      </w:pPr>
      <w:r w:rsidRPr="00FE160E">
        <w:rPr>
          <w:rStyle w:val="Strong"/>
          <w:b/>
        </w:rPr>
        <w:t xml:space="preserve">20. </w:t>
      </w:r>
      <w:r w:rsidR="0052560B" w:rsidRPr="00FE160E">
        <w:rPr>
          <w:rStyle w:val="Strong"/>
          <w:b/>
        </w:rPr>
        <w:t>Tender opening session</w:t>
      </w:r>
    </w:p>
    <w:p w14:paraId="38B601DA" w14:textId="3C25ACBD" w:rsidR="0052560B" w:rsidRPr="00A27594" w:rsidRDefault="00843C43" w:rsidP="00A27594">
      <w:pPr>
        <w:rPr>
          <w:lang w:val="en-US"/>
        </w:rPr>
      </w:pPr>
      <w:r w:rsidRPr="00FE160E">
        <w:rPr>
          <w:lang w:val="en-US"/>
        </w:rPr>
        <w:t xml:space="preserve">The tender opening session will start on </w:t>
      </w:r>
      <w:r w:rsidR="0099691C">
        <w:rPr>
          <w:lang w:val="en-US"/>
        </w:rPr>
        <w:t>1</w:t>
      </w:r>
      <w:r w:rsidR="00060A16" w:rsidRPr="00FE160E">
        <w:rPr>
          <w:lang w:val="en-US"/>
        </w:rPr>
        <w:t>0.0</w:t>
      </w:r>
      <w:r w:rsidR="00FE160E" w:rsidRPr="00FE160E">
        <w:rPr>
          <w:lang w:val="en-US"/>
        </w:rPr>
        <w:t>4</w:t>
      </w:r>
      <w:r w:rsidR="00060A16" w:rsidRPr="00FE160E">
        <w:rPr>
          <w:lang w:val="en-US"/>
        </w:rPr>
        <w:t>.</w:t>
      </w:r>
      <w:bookmarkStart w:id="1" w:name="_GoBack"/>
      <w:bookmarkEnd w:id="1"/>
      <w:r w:rsidR="00060A16" w:rsidRPr="00FE160E">
        <w:rPr>
          <w:lang w:val="en-US"/>
        </w:rPr>
        <w:t>2020</w:t>
      </w:r>
      <w:r w:rsidR="0052560B" w:rsidRPr="00FE160E">
        <w:rPr>
          <w:lang w:val="en-US"/>
        </w:rPr>
        <w:t xml:space="preserve">, </w:t>
      </w:r>
      <w:r w:rsidRPr="00FE160E">
        <w:rPr>
          <w:lang w:val="en-US"/>
        </w:rPr>
        <w:t>at 14:</w:t>
      </w:r>
      <w:r w:rsidR="00060A16" w:rsidRPr="00FE160E">
        <w:rPr>
          <w:lang w:val="en-US"/>
        </w:rPr>
        <w:t>0</w:t>
      </w:r>
      <w:r w:rsidRPr="00FE160E">
        <w:rPr>
          <w:lang w:val="en-US"/>
        </w:rPr>
        <w:t xml:space="preserve">0, Romanian </w:t>
      </w:r>
      <w:r w:rsidR="0052560B" w:rsidRPr="00FE160E">
        <w:rPr>
          <w:lang w:val="en-US"/>
        </w:rPr>
        <w:t>local time</w:t>
      </w:r>
      <w:r w:rsidRPr="00FE160E">
        <w:rPr>
          <w:lang w:val="en-US"/>
        </w:rPr>
        <w:t>, at W</w:t>
      </w:r>
      <w:r w:rsidRPr="00843C43">
        <w:rPr>
          <w:lang w:val="en-US"/>
        </w:rPr>
        <w:t>est University of Timisoara (</w:t>
      </w:r>
      <w:proofErr w:type="spellStart"/>
      <w:r w:rsidRPr="00843C43">
        <w:rPr>
          <w:lang w:val="en-US"/>
        </w:rPr>
        <w:t>Universitatea</w:t>
      </w:r>
      <w:proofErr w:type="spellEnd"/>
      <w:r w:rsidRPr="00843C43">
        <w:rPr>
          <w:lang w:val="en-US"/>
        </w:rPr>
        <w:t xml:space="preserve"> de Vest din </w:t>
      </w:r>
      <w:proofErr w:type="spellStart"/>
      <w:r w:rsidRPr="00843C43">
        <w:rPr>
          <w:lang w:val="en-US"/>
        </w:rPr>
        <w:t>Timișoara</w:t>
      </w:r>
      <w:proofErr w:type="spellEnd"/>
      <w:proofErr w:type="gramStart"/>
      <w:r w:rsidRPr="00843C43">
        <w:rPr>
          <w:lang w:val="en-US"/>
        </w:rPr>
        <w:t xml:space="preserve">), </w:t>
      </w:r>
      <w:r>
        <w:rPr>
          <w:lang w:val="en-US"/>
        </w:rPr>
        <w:t xml:space="preserve"> building</w:t>
      </w:r>
      <w:proofErr w:type="gramEnd"/>
      <w:r>
        <w:rPr>
          <w:lang w:val="en-US"/>
        </w:rPr>
        <w:t xml:space="preserve"> of </w:t>
      </w:r>
      <w:r w:rsidRPr="00843C43">
        <w:rPr>
          <w:lang w:val="en-US"/>
        </w:rPr>
        <w:t>Advanced Environmental Research Laboratories (</w:t>
      </w:r>
      <w:proofErr w:type="spellStart"/>
      <w:r w:rsidRPr="00843C43">
        <w:rPr>
          <w:lang w:val="en-US"/>
        </w:rPr>
        <w:t>Laboratoarele</w:t>
      </w:r>
      <w:proofErr w:type="spellEnd"/>
      <w:r w:rsidRPr="00843C43">
        <w:rPr>
          <w:lang w:val="en-US"/>
        </w:rPr>
        <w:t xml:space="preserve"> de </w:t>
      </w:r>
      <w:proofErr w:type="spellStart"/>
      <w:r w:rsidRPr="00843C43">
        <w:rPr>
          <w:lang w:val="en-US"/>
        </w:rPr>
        <w:t>Cercetari</w:t>
      </w:r>
      <w:proofErr w:type="spellEnd"/>
      <w:r w:rsidRPr="00843C43">
        <w:rPr>
          <w:lang w:val="en-US"/>
        </w:rPr>
        <w:t xml:space="preserve"> </w:t>
      </w:r>
      <w:proofErr w:type="spellStart"/>
      <w:r w:rsidRPr="00843C43">
        <w:rPr>
          <w:lang w:val="en-US"/>
        </w:rPr>
        <w:t>Avansate</w:t>
      </w:r>
      <w:proofErr w:type="spellEnd"/>
      <w:r w:rsidRPr="00843C43">
        <w:rPr>
          <w:lang w:val="en-US"/>
        </w:rPr>
        <w:t xml:space="preserve"> de </w:t>
      </w:r>
      <w:proofErr w:type="spellStart"/>
      <w:r w:rsidRPr="00843C43">
        <w:rPr>
          <w:lang w:val="en-US"/>
        </w:rPr>
        <w:t>Mediu</w:t>
      </w:r>
      <w:proofErr w:type="spellEnd"/>
      <w:r w:rsidRPr="00843C43">
        <w:rPr>
          <w:lang w:val="en-US"/>
        </w:rPr>
        <w:t xml:space="preserve">), Str. </w:t>
      </w:r>
      <w:proofErr w:type="spellStart"/>
      <w:r w:rsidRPr="00843C43">
        <w:rPr>
          <w:lang w:val="en-US"/>
        </w:rPr>
        <w:t>Oituz</w:t>
      </w:r>
      <w:proofErr w:type="spellEnd"/>
      <w:r w:rsidRPr="00843C43">
        <w:rPr>
          <w:lang w:val="en-US"/>
        </w:rPr>
        <w:t xml:space="preserve"> 4, 300086, Timisoara, ROMÂNIA</w:t>
      </w:r>
      <w:r w:rsidR="00AF38D5">
        <w:rPr>
          <w:lang w:val="en-US"/>
        </w:rPr>
        <w:t>, the place of project implementation.</w:t>
      </w:r>
    </w:p>
    <w:p w14:paraId="3971D73F" w14:textId="1B09E33C" w:rsidR="0052560B" w:rsidRPr="001B382B" w:rsidRDefault="001B382B" w:rsidP="001B382B">
      <w:pPr>
        <w:pStyle w:val="Heading1"/>
        <w:rPr>
          <w:rStyle w:val="Strong"/>
          <w:b/>
        </w:rPr>
      </w:pPr>
      <w:r w:rsidRPr="001B382B">
        <w:rPr>
          <w:rStyle w:val="Strong"/>
          <w:b/>
        </w:rPr>
        <w:t xml:space="preserve">21. </w:t>
      </w:r>
      <w:r w:rsidR="0052560B" w:rsidRPr="001B382B">
        <w:rPr>
          <w:rStyle w:val="Strong"/>
          <w:b/>
        </w:rPr>
        <w:t>Language of the procedure</w:t>
      </w:r>
    </w:p>
    <w:p w14:paraId="5F5B5790" w14:textId="77777777" w:rsidR="0052560B" w:rsidRPr="00A27594" w:rsidRDefault="0052560B" w:rsidP="00A27594">
      <w:pPr>
        <w:rPr>
          <w:i/>
          <w:lang w:val="en-US"/>
        </w:rPr>
      </w:pPr>
      <w:r w:rsidRPr="00A27594">
        <w:rPr>
          <w:rStyle w:val="Emphasis"/>
          <w:i w:val="0"/>
          <w:lang w:val="en-US"/>
        </w:rPr>
        <w:t xml:space="preserve">All written communications for this tender procedure and contract must be in English. </w:t>
      </w:r>
    </w:p>
    <w:p w14:paraId="4E3B1AAF" w14:textId="2D56535A" w:rsidR="0052560B" w:rsidRPr="001B382B" w:rsidRDefault="001B382B" w:rsidP="001B382B">
      <w:pPr>
        <w:pStyle w:val="Heading1"/>
        <w:rPr>
          <w:rStyle w:val="Strong"/>
          <w:b/>
        </w:rPr>
      </w:pPr>
      <w:r w:rsidRPr="001B382B">
        <w:rPr>
          <w:rStyle w:val="Strong"/>
          <w:b/>
        </w:rPr>
        <w:t xml:space="preserve">22. </w:t>
      </w:r>
      <w:r w:rsidR="0052560B" w:rsidRPr="001B382B">
        <w:rPr>
          <w:rStyle w:val="Strong"/>
          <w:b/>
        </w:rPr>
        <w:t>Legal basis</w:t>
      </w:r>
      <w:r w:rsidR="0052560B" w:rsidRPr="001B382B">
        <w:rPr>
          <w:rStyle w:val="FootnoteReference"/>
          <w:b w:val="0"/>
        </w:rPr>
        <w:footnoteReference w:id="1"/>
      </w:r>
    </w:p>
    <w:p w14:paraId="1D414133" w14:textId="2B453530" w:rsidR="0052560B" w:rsidRPr="00A27594" w:rsidRDefault="0052560B" w:rsidP="00A27594">
      <w:pPr>
        <w:rPr>
          <w:lang w:val="en-US"/>
        </w:rPr>
      </w:pPr>
      <w:r w:rsidRPr="00A27594">
        <w:rPr>
          <w:lang w:val="en-US"/>
        </w:rPr>
        <w:t>Regulation</w:t>
      </w:r>
      <w:r w:rsidRPr="00A27594">
        <w:rPr>
          <w:bCs/>
          <w:lang w:val="en-US"/>
        </w:rPr>
        <w:t xml:space="preserve"> </w:t>
      </w:r>
      <w:r w:rsidRPr="00A27594">
        <w:rPr>
          <w:lang w:val="en-US"/>
        </w:rPr>
        <w:t>(EU) N°</w:t>
      </w:r>
      <w:r w:rsidRPr="00A27594">
        <w:rPr>
          <w:lang w:val="en-US" w:eastAsia="ja-JP"/>
        </w:rPr>
        <w:t xml:space="preserve">236/2014 of the European Parliament and of the Council of 11 March 2014 laying down common rules and procedures for the implementation of the Union's instruments for financing external action </w:t>
      </w:r>
      <w:r w:rsidR="001B382B">
        <w:rPr>
          <w:lang w:val="en-US" w:eastAsia="ja-JP"/>
        </w:rPr>
        <w:t xml:space="preserve">and </w:t>
      </w:r>
      <w:r w:rsidR="001B382B" w:rsidRPr="001B382B">
        <w:rPr>
          <w:lang w:val="en-US" w:eastAsia="ja-JP"/>
        </w:rPr>
        <w:t xml:space="preserve">Regulation or other instrument under which this contract is to be financed </w:t>
      </w:r>
      <w:r w:rsidR="001B382B">
        <w:rPr>
          <w:lang w:val="en-US" w:eastAsia="ja-JP"/>
        </w:rPr>
        <w:t xml:space="preserve">(see Annex As of the Practical Guide </w:t>
      </w:r>
      <w:hyperlink r:id="rId12" w:history="1">
        <w:r w:rsidRPr="00A27594">
          <w:rPr>
            <w:rStyle w:val="Hyperlink"/>
            <w:lang w:val="en-US"/>
          </w:rPr>
          <w:t>http://ec.europa.eu/europeaid/prag/previousVersions.do</w:t>
        </w:r>
      </w:hyperlink>
      <w:r w:rsidR="001B382B">
        <w:rPr>
          <w:rStyle w:val="Hyperlink"/>
          <w:lang w:val="en-US"/>
        </w:rPr>
        <w:t>)</w:t>
      </w:r>
    </w:p>
    <w:p w14:paraId="6B6F06AF" w14:textId="6101059B" w:rsidR="0052560B" w:rsidRPr="001B382B" w:rsidRDefault="001B382B" w:rsidP="001B382B">
      <w:pPr>
        <w:pStyle w:val="Heading1"/>
        <w:rPr>
          <w:rStyle w:val="Strong"/>
          <w:b/>
        </w:rPr>
      </w:pPr>
      <w:r w:rsidRPr="001B382B">
        <w:rPr>
          <w:rStyle w:val="Strong"/>
          <w:b/>
        </w:rPr>
        <w:t>23. A</w:t>
      </w:r>
      <w:r w:rsidR="0052560B" w:rsidRPr="001B382B">
        <w:rPr>
          <w:rStyle w:val="Strong"/>
          <w:b/>
        </w:rPr>
        <w:t>dditional information</w:t>
      </w:r>
    </w:p>
    <w:p w14:paraId="1D605A84" w14:textId="77777777" w:rsidR="0052560B" w:rsidRPr="00A27594" w:rsidRDefault="0052560B" w:rsidP="00A27594">
      <w:pPr>
        <w:rPr>
          <w:lang w:val="en-US"/>
        </w:rPr>
      </w:pPr>
      <w:r w:rsidRPr="00A27594">
        <w:rPr>
          <w:lang w:val="en-US"/>
        </w:rPr>
        <w:t>Not the case.</w:t>
      </w:r>
    </w:p>
    <w:p w14:paraId="5E89EA3C" w14:textId="77777777" w:rsidR="0052560B" w:rsidRPr="00A27594" w:rsidRDefault="0052560B" w:rsidP="00A27594">
      <w:pPr>
        <w:rPr>
          <w:lang w:val="en-US"/>
        </w:rPr>
      </w:pPr>
    </w:p>
    <w:sectPr w:rsidR="0052560B" w:rsidRPr="00A27594" w:rsidSect="00F77E71">
      <w:headerReference w:type="default" r:id="rId13"/>
      <w:footerReference w:type="default" r:id="rId14"/>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9D4CF" w14:textId="77777777" w:rsidR="00DA5E54" w:rsidRDefault="00DA5E54" w:rsidP="00A27594">
      <w:r>
        <w:separator/>
      </w:r>
    </w:p>
  </w:endnote>
  <w:endnote w:type="continuationSeparator" w:id="0">
    <w:p w14:paraId="7EFE3A39" w14:textId="77777777" w:rsidR="00DA5E54" w:rsidRDefault="00DA5E54" w:rsidP="00A27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7A7452" w:rsidRDefault="007A7452" w:rsidP="00A27594">
    <w:pPr>
      <w:pStyle w:val="Foote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EA77C6" w14:paraId="43F3DDA9" w14:textId="77777777" w:rsidTr="00EA77C6">
      <w:trPr>
        <w:trHeight w:val="698"/>
      </w:trPr>
      <w:tc>
        <w:tcPr>
          <w:tcW w:w="1696" w:type="dxa"/>
          <w:vMerge w:val="restart"/>
        </w:tcPr>
        <w:p w14:paraId="24215C7D" w14:textId="12124DDF" w:rsidR="001F2AFE" w:rsidRDefault="001F2AFE" w:rsidP="00A27594">
          <w:pPr>
            <w:pStyle w:val="Footer"/>
          </w:pPr>
          <w:r>
            <w:rPr>
              <w:noProof/>
              <w:lang w:val="ro-RO"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EA77C6" w:rsidRDefault="001F2AFE" w:rsidP="00A27594"/>
        <w:p w14:paraId="4261EBB4" w14:textId="66F6F036" w:rsidR="001F2AFE" w:rsidRPr="00EA77C6" w:rsidRDefault="001F2AFE" w:rsidP="00A27594">
          <w:pPr>
            <w:pStyle w:val="Footer"/>
          </w:pPr>
          <w:r w:rsidRPr="00EA77C6">
            <w:t>Cooperation beyond borders.</w:t>
          </w:r>
        </w:p>
        <w:p w14:paraId="2EE5E0F5" w14:textId="2ADFF088" w:rsidR="001F2AFE" w:rsidRPr="00EA77C6" w:rsidRDefault="001F2AFE" w:rsidP="00A27594">
          <w:pPr>
            <w:pStyle w:val="Footer"/>
          </w:pPr>
          <w:r w:rsidRPr="00EA77C6">
            <w:t>Interreg-IPA Cross-border Cooperation Romania-Serbia Programme is financed by the European Union under the Instrument for Pre-accession Assistance (IPA II) and co-financed by the partner states in the Programme.</w:t>
          </w:r>
        </w:p>
      </w:tc>
    </w:tr>
    <w:tr w:rsidR="001F2AFE" w:rsidRPr="00EA77C6" w14:paraId="128FC169" w14:textId="77777777" w:rsidTr="00EA77C6">
      <w:trPr>
        <w:trHeight w:val="697"/>
      </w:trPr>
      <w:tc>
        <w:tcPr>
          <w:tcW w:w="1696" w:type="dxa"/>
          <w:vMerge/>
        </w:tcPr>
        <w:p w14:paraId="3C1B5035" w14:textId="77777777" w:rsidR="001F2AFE" w:rsidRDefault="001F2AFE" w:rsidP="00A27594">
          <w:pPr>
            <w:pStyle w:val="Footer"/>
            <w:rPr>
              <w:noProof/>
            </w:rPr>
          </w:pPr>
        </w:p>
      </w:tc>
      <w:tc>
        <w:tcPr>
          <w:tcW w:w="8369" w:type="dxa"/>
        </w:tcPr>
        <w:p w14:paraId="7EE0D672" w14:textId="3C94D583" w:rsidR="001F2AFE" w:rsidRPr="00EA77C6" w:rsidRDefault="001F2AFE" w:rsidP="00A27594">
          <w:r w:rsidRPr="00EA77C6">
            <w:rPr>
              <w:noProof/>
              <w:lang w:val="ro-RO"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1F2AFE" w:rsidRPr="005B7C2B" w:rsidRDefault="001F2AFE" w:rsidP="00A27594">
                                <w:r w:rsidRPr="00315BE3">
                                  <w:t xml:space="preserve">Page </w:t>
                                </w:r>
                                <w:r w:rsidRPr="00315BE3">
                                  <w:fldChar w:fldCharType="begin"/>
                                </w:r>
                                <w:r w:rsidRPr="00315BE3">
                                  <w:instrText xml:space="preserve"> PAGE  \* Arabic  \* MERGEFORMAT </w:instrText>
                                </w:r>
                                <w:r w:rsidRPr="00315BE3">
                                  <w:fldChar w:fldCharType="separate"/>
                                </w:r>
                                <w:r w:rsidR="00BE5EED">
                                  <w:rPr>
                                    <w:noProof/>
                                  </w:rPr>
                                  <w:t>6</w:t>
                                </w:r>
                                <w:r w:rsidRPr="00315BE3">
                                  <w:fldChar w:fldCharType="end"/>
                                </w:r>
                                <w:r w:rsidRPr="00315BE3">
                                  <w:t xml:space="preserve"> of </w:t>
                                </w:r>
                                <w:r w:rsidR="00DA5E54">
                                  <w:fldChar w:fldCharType="begin"/>
                                </w:r>
                                <w:r w:rsidR="00DA5E54">
                                  <w:instrText xml:space="preserve"> NUMPAGES  \* Arabic  \* MERGEFORMAT </w:instrText>
                                </w:r>
                                <w:r w:rsidR="00DA5E54">
                                  <w:fldChar w:fldCharType="separate"/>
                                </w:r>
                                <w:r w:rsidR="00BE5EED">
                                  <w:rPr>
                                    <w:noProof/>
                                  </w:rPr>
                                  <w:t>6</w:t>
                                </w:r>
                                <w:r w:rsidR="00DA5E54">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left:0;text-align:left;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1F2AFE" w:rsidRPr="005B7C2B" w:rsidRDefault="001F2AFE" w:rsidP="00A27594">
                          <w:r w:rsidRPr="00315BE3">
                            <w:t xml:space="preserve">Page </w:t>
                          </w:r>
                          <w:r w:rsidRPr="00315BE3">
                            <w:fldChar w:fldCharType="begin"/>
                          </w:r>
                          <w:r w:rsidRPr="00315BE3">
                            <w:instrText xml:space="preserve"> PAGE  \* Arabic  \* MERGEFORMAT </w:instrText>
                          </w:r>
                          <w:r w:rsidRPr="00315BE3">
                            <w:fldChar w:fldCharType="separate"/>
                          </w:r>
                          <w:r w:rsidR="00BE5EED">
                            <w:rPr>
                              <w:noProof/>
                            </w:rPr>
                            <w:t>6</w:t>
                          </w:r>
                          <w:r w:rsidRPr="00315BE3">
                            <w:fldChar w:fldCharType="end"/>
                          </w:r>
                          <w:r w:rsidRPr="00315BE3">
                            <w:t xml:space="preserve"> of </w:t>
                          </w:r>
                          <w:r w:rsidR="00DA5E54">
                            <w:fldChar w:fldCharType="begin"/>
                          </w:r>
                          <w:r w:rsidR="00DA5E54">
                            <w:instrText xml:space="preserve"> NUMPAGES  \* Arabic  \* MERGEFORMAT </w:instrText>
                          </w:r>
                          <w:r w:rsidR="00DA5E54">
                            <w:fldChar w:fldCharType="separate"/>
                          </w:r>
                          <w:r w:rsidR="00BE5EED">
                            <w:rPr>
                              <w:noProof/>
                            </w:rPr>
                            <w:t>6</w:t>
                          </w:r>
                          <w:r w:rsidR="00DA5E54">
                            <w:rPr>
                              <w:noProof/>
                            </w:rPr>
                            <w:fldChar w:fldCharType="end"/>
                          </w:r>
                        </w:p>
                      </w:txbxContent>
                    </v:textbox>
                  </v:shape>
                </w:pict>
              </mc:Fallback>
            </mc:AlternateContent>
          </w:r>
          <w:r w:rsidR="000C2064" w:rsidRPr="00EA77C6">
            <w:t xml:space="preserve">Project </w:t>
          </w:r>
          <w:proofErr w:type="spellStart"/>
          <w:r w:rsidR="000C2064" w:rsidRPr="00EA77C6">
            <w:t>RoRS</w:t>
          </w:r>
          <w:proofErr w:type="spellEnd"/>
          <w:r w:rsidR="000C2064" w:rsidRPr="00EA77C6">
            <w:t xml:space="preserve"> 337- </w:t>
          </w:r>
          <w:proofErr w:type="spellStart"/>
          <w:r w:rsidRPr="00EA77C6">
            <w:t>ROmania</w:t>
          </w:r>
          <w:proofErr w:type="spellEnd"/>
          <w:r w:rsidRPr="00EA77C6">
            <w:t xml:space="preserve"> Serbia </w:t>
          </w:r>
          <w:proofErr w:type="spellStart"/>
          <w:r w:rsidRPr="00EA77C6">
            <w:t>NETwork</w:t>
          </w:r>
          <w:proofErr w:type="spellEnd"/>
          <w:r w:rsidRPr="00EA77C6">
            <w:t xml:space="preserve"> for assessing and disseminating the impact of copper mining activities on water quality in the cross-border area</w:t>
          </w:r>
          <w:r w:rsidR="000C2064" w:rsidRPr="00EA77C6">
            <w:t xml:space="preserve"> (RoS-NET2</w:t>
          </w:r>
          <w:r w:rsidR="000A180B" w:rsidRPr="00EA77C6">
            <w:t>)</w:t>
          </w:r>
        </w:p>
      </w:tc>
    </w:tr>
  </w:tbl>
  <w:p w14:paraId="14A3C96D" w14:textId="2082DF64" w:rsidR="006D5E06" w:rsidRPr="00F23651" w:rsidRDefault="006D5E06" w:rsidP="00A27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B3854" w14:textId="77777777" w:rsidR="00DA5E54" w:rsidRDefault="00DA5E54" w:rsidP="00A27594">
      <w:r>
        <w:separator/>
      </w:r>
    </w:p>
  </w:footnote>
  <w:footnote w:type="continuationSeparator" w:id="0">
    <w:p w14:paraId="4F8D20D0" w14:textId="77777777" w:rsidR="00DA5E54" w:rsidRDefault="00DA5E54" w:rsidP="00A27594">
      <w:r>
        <w:continuationSeparator/>
      </w:r>
    </w:p>
  </w:footnote>
  <w:footnote w:id="1">
    <w:p w14:paraId="147D4602" w14:textId="77777777" w:rsidR="0052560B" w:rsidRPr="000F28BC" w:rsidRDefault="0052560B" w:rsidP="00A27594">
      <w:pPr>
        <w:pStyle w:val="FootnoteText"/>
        <w:rPr>
          <w:lang w:val="en-GB"/>
        </w:rPr>
      </w:pPr>
      <w:r>
        <w:rPr>
          <w:rStyle w:val="FootnoteReference"/>
        </w:rPr>
        <w:footnoteRef/>
      </w:r>
      <w:r>
        <w:tab/>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A27594">
          <w:pPr>
            <w:pStyle w:val="Header"/>
          </w:pPr>
          <w:r w:rsidRPr="007A7452">
            <w:rPr>
              <w:noProof/>
              <w:lang w:val="ro-RO"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val="ro-RO"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A275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EE10653"/>
    <w:multiLevelType w:val="hybridMultilevel"/>
    <w:tmpl w:val="4FB8D22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AD925B1"/>
    <w:multiLevelType w:val="hybridMultilevel"/>
    <w:tmpl w:val="850CC18E"/>
    <w:lvl w:ilvl="0" w:tplc="9DF2E9A2">
      <w:start w:val="1"/>
      <w:numFmt w:val="decimal"/>
      <w:lvlText w:val="%1."/>
      <w:lvlJc w:val="left"/>
      <w:pPr>
        <w:ind w:left="1486" w:hanging="360"/>
      </w:pPr>
      <w:rPr>
        <w:rFonts w:hint="default"/>
      </w:rPr>
    </w:lvl>
    <w:lvl w:ilvl="1" w:tplc="08090019" w:tentative="1">
      <w:start w:val="1"/>
      <w:numFmt w:val="lowerLetter"/>
      <w:lvlText w:val="%2."/>
      <w:lvlJc w:val="left"/>
      <w:pPr>
        <w:ind w:left="2206" w:hanging="360"/>
      </w:pPr>
    </w:lvl>
    <w:lvl w:ilvl="2" w:tplc="0809001B" w:tentative="1">
      <w:start w:val="1"/>
      <w:numFmt w:val="lowerRoman"/>
      <w:lvlText w:val="%3."/>
      <w:lvlJc w:val="right"/>
      <w:pPr>
        <w:ind w:left="2926" w:hanging="180"/>
      </w:pPr>
    </w:lvl>
    <w:lvl w:ilvl="3" w:tplc="0809000F" w:tentative="1">
      <w:start w:val="1"/>
      <w:numFmt w:val="decimal"/>
      <w:lvlText w:val="%4."/>
      <w:lvlJc w:val="left"/>
      <w:pPr>
        <w:ind w:left="3646" w:hanging="360"/>
      </w:pPr>
    </w:lvl>
    <w:lvl w:ilvl="4" w:tplc="08090019" w:tentative="1">
      <w:start w:val="1"/>
      <w:numFmt w:val="lowerLetter"/>
      <w:lvlText w:val="%5."/>
      <w:lvlJc w:val="left"/>
      <w:pPr>
        <w:ind w:left="4366" w:hanging="360"/>
      </w:pPr>
    </w:lvl>
    <w:lvl w:ilvl="5" w:tplc="0809001B" w:tentative="1">
      <w:start w:val="1"/>
      <w:numFmt w:val="lowerRoman"/>
      <w:lvlText w:val="%6."/>
      <w:lvlJc w:val="right"/>
      <w:pPr>
        <w:ind w:left="5086" w:hanging="180"/>
      </w:pPr>
    </w:lvl>
    <w:lvl w:ilvl="6" w:tplc="0809000F" w:tentative="1">
      <w:start w:val="1"/>
      <w:numFmt w:val="decimal"/>
      <w:lvlText w:val="%7."/>
      <w:lvlJc w:val="left"/>
      <w:pPr>
        <w:ind w:left="5806" w:hanging="360"/>
      </w:pPr>
    </w:lvl>
    <w:lvl w:ilvl="7" w:tplc="08090019" w:tentative="1">
      <w:start w:val="1"/>
      <w:numFmt w:val="lowerLetter"/>
      <w:lvlText w:val="%8."/>
      <w:lvlJc w:val="left"/>
      <w:pPr>
        <w:ind w:left="6526" w:hanging="360"/>
      </w:pPr>
    </w:lvl>
    <w:lvl w:ilvl="8" w:tplc="0809001B" w:tentative="1">
      <w:start w:val="1"/>
      <w:numFmt w:val="lowerRoman"/>
      <w:lvlText w:val="%9."/>
      <w:lvlJc w:val="right"/>
      <w:pPr>
        <w:ind w:left="7246" w:hanging="180"/>
      </w:pPr>
    </w:lvl>
  </w:abstractNum>
  <w:abstractNum w:abstractNumId="6"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BE82022"/>
    <w:multiLevelType w:val="hybridMultilevel"/>
    <w:tmpl w:val="BD9C78C6"/>
    <w:lvl w:ilvl="0" w:tplc="000AF6CE">
      <w:start w:val="1"/>
      <w:numFmt w:val="decimal"/>
      <w:lvlText w:val="%1."/>
      <w:lvlJc w:val="left"/>
      <w:pPr>
        <w:ind w:left="1486" w:hanging="360"/>
      </w:pPr>
      <w:rPr>
        <w:rFonts w:hint="default"/>
      </w:rPr>
    </w:lvl>
    <w:lvl w:ilvl="1" w:tplc="08090019" w:tentative="1">
      <w:start w:val="1"/>
      <w:numFmt w:val="lowerLetter"/>
      <w:lvlText w:val="%2."/>
      <w:lvlJc w:val="left"/>
      <w:pPr>
        <w:ind w:left="2206" w:hanging="360"/>
      </w:pPr>
    </w:lvl>
    <w:lvl w:ilvl="2" w:tplc="0809001B" w:tentative="1">
      <w:start w:val="1"/>
      <w:numFmt w:val="lowerRoman"/>
      <w:lvlText w:val="%3."/>
      <w:lvlJc w:val="right"/>
      <w:pPr>
        <w:ind w:left="2926" w:hanging="180"/>
      </w:pPr>
    </w:lvl>
    <w:lvl w:ilvl="3" w:tplc="0809000F" w:tentative="1">
      <w:start w:val="1"/>
      <w:numFmt w:val="decimal"/>
      <w:lvlText w:val="%4."/>
      <w:lvlJc w:val="left"/>
      <w:pPr>
        <w:ind w:left="3646" w:hanging="360"/>
      </w:pPr>
    </w:lvl>
    <w:lvl w:ilvl="4" w:tplc="08090019" w:tentative="1">
      <w:start w:val="1"/>
      <w:numFmt w:val="lowerLetter"/>
      <w:lvlText w:val="%5."/>
      <w:lvlJc w:val="left"/>
      <w:pPr>
        <w:ind w:left="4366" w:hanging="360"/>
      </w:pPr>
    </w:lvl>
    <w:lvl w:ilvl="5" w:tplc="0809001B" w:tentative="1">
      <w:start w:val="1"/>
      <w:numFmt w:val="lowerRoman"/>
      <w:lvlText w:val="%6."/>
      <w:lvlJc w:val="right"/>
      <w:pPr>
        <w:ind w:left="5086" w:hanging="180"/>
      </w:pPr>
    </w:lvl>
    <w:lvl w:ilvl="6" w:tplc="0809000F" w:tentative="1">
      <w:start w:val="1"/>
      <w:numFmt w:val="decimal"/>
      <w:lvlText w:val="%7."/>
      <w:lvlJc w:val="left"/>
      <w:pPr>
        <w:ind w:left="5806" w:hanging="360"/>
      </w:pPr>
    </w:lvl>
    <w:lvl w:ilvl="7" w:tplc="08090019" w:tentative="1">
      <w:start w:val="1"/>
      <w:numFmt w:val="lowerLetter"/>
      <w:lvlText w:val="%8."/>
      <w:lvlJc w:val="left"/>
      <w:pPr>
        <w:ind w:left="6526" w:hanging="360"/>
      </w:pPr>
    </w:lvl>
    <w:lvl w:ilvl="8" w:tplc="0809001B" w:tentative="1">
      <w:start w:val="1"/>
      <w:numFmt w:val="lowerRoman"/>
      <w:lvlText w:val="%9."/>
      <w:lvlJc w:val="right"/>
      <w:pPr>
        <w:ind w:left="7246" w:hanging="180"/>
      </w:pPr>
    </w:lvl>
  </w:abstractNum>
  <w:abstractNum w:abstractNumId="13" w15:restartNumberingAfterBreak="0">
    <w:nsid w:val="2D880118"/>
    <w:multiLevelType w:val="hybridMultilevel"/>
    <w:tmpl w:val="D088731A"/>
    <w:lvl w:ilvl="0" w:tplc="4A52A5B6">
      <w:start w:val="1"/>
      <w:numFmt w:val="decimal"/>
      <w:lvlText w:val="%1."/>
      <w:lvlJc w:val="left"/>
      <w:pPr>
        <w:tabs>
          <w:tab w:val="num" w:pos="4330"/>
        </w:tabs>
        <w:ind w:left="43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E353BB4"/>
    <w:multiLevelType w:val="hybridMultilevel"/>
    <w:tmpl w:val="E018893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EF74A87"/>
    <w:multiLevelType w:val="hybridMultilevel"/>
    <w:tmpl w:val="720EF03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41326207"/>
    <w:multiLevelType w:val="hybridMultilevel"/>
    <w:tmpl w:val="C1FED7EA"/>
    <w:lvl w:ilvl="0" w:tplc="1D48CF06">
      <w:start w:val="1"/>
      <w:numFmt w:val="decimal"/>
      <w:lvlText w:val="%1."/>
      <w:lvlJc w:val="left"/>
      <w:pPr>
        <w:ind w:left="1486" w:hanging="360"/>
      </w:pPr>
      <w:rPr>
        <w:rFonts w:hint="default"/>
      </w:rPr>
    </w:lvl>
    <w:lvl w:ilvl="1" w:tplc="08090019" w:tentative="1">
      <w:start w:val="1"/>
      <w:numFmt w:val="lowerLetter"/>
      <w:lvlText w:val="%2."/>
      <w:lvlJc w:val="left"/>
      <w:pPr>
        <w:ind w:left="2206" w:hanging="360"/>
      </w:pPr>
    </w:lvl>
    <w:lvl w:ilvl="2" w:tplc="0809001B" w:tentative="1">
      <w:start w:val="1"/>
      <w:numFmt w:val="lowerRoman"/>
      <w:lvlText w:val="%3."/>
      <w:lvlJc w:val="right"/>
      <w:pPr>
        <w:ind w:left="2926" w:hanging="180"/>
      </w:pPr>
    </w:lvl>
    <w:lvl w:ilvl="3" w:tplc="0809000F" w:tentative="1">
      <w:start w:val="1"/>
      <w:numFmt w:val="decimal"/>
      <w:lvlText w:val="%4."/>
      <w:lvlJc w:val="left"/>
      <w:pPr>
        <w:ind w:left="3646" w:hanging="360"/>
      </w:pPr>
    </w:lvl>
    <w:lvl w:ilvl="4" w:tplc="08090019" w:tentative="1">
      <w:start w:val="1"/>
      <w:numFmt w:val="lowerLetter"/>
      <w:lvlText w:val="%5."/>
      <w:lvlJc w:val="left"/>
      <w:pPr>
        <w:ind w:left="4366" w:hanging="360"/>
      </w:pPr>
    </w:lvl>
    <w:lvl w:ilvl="5" w:tplc="0809001B" w:tentative="1">
      <w:start w:val="1"/>
      <w:numFmt w:val="lowerRoman"/>
      <w:lvlText w:val="%6."/>
      <w:lvlJc w:val="right"/>
      <w:pPr>
        <w:ind w:left="5086" w:hanging="180"/>
      </w:pPr>
    </w:lvl>
    <w:lvl w:ilvl="6" w:tplc="0809000F" w:tentative="1">
      <w:start w:val="1"/>
      <w:numFmt w:val="decimal"/>
      <w:lvlText w:val="%7."/>
      <w:lvlJc w:val="left"/>
      <w:pPr>
        <w:ind w:left="5806" w:hanging="360"/>
      </w:pPr>
    </w:lvl>
    <w:lvl w:ilvl="7" w:tplc="08090019" w:tentative="1">
      <w:start w:val="1"/>
      <w:numFmt w:val="lowerLetter"/>
      <w:lvlText w:val="%8."/>
      <w:lvlJc w:val="left"/>
      <w:pPr>
        <w:ind w:left="6526" w:hanging="360"/>
      </w:pPr>
    </w:lvl>
    <w:lvl w:ilvl="8" w:tplc="0809001B" w:tentative="1">
      <w:start w:val="1"/>
      <w:numFmt w:val="lowerRoman"/>
      <w:lvlText w:val="%9."/>
      <w:lvlJc w:val="right"/>
      <w:pPr>
        <w:ind w:left="7246" w:hanging="180"/>
      </w:pPr>
    </w:lvl>
  </w:abstractNum>
  <w:abstractNum w:abstractNumId="18"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5DF972AD"/>
    <w:multiLevelType w:val="hybridMultilevel"/>
    <w:tmpl w:val="DCE4C2E4"/>
    <w:lvl w:ilvl="0" w:tplc="B6208ECE">
      <w:start w:val="1"/>
      <w:numFmt w:val="decimal"/>
      <w:lvlText w:val="%1."/>
      <w:lvlJc w:val="left"/>
      <w:pPr>
        <w:ind w:left="1486" w:hanging="360"/>
      </w:pPr>
      <w:rPr>
        <w:rFonts w:hint="default"/>
      </w:rPr>
    </w:lvl>
    <w:lvl w:ilvl="1" w:tplc="08090019" w:tentative="1">
      <w:start w:val="1"/>
      <w:numFmt w:val="lowerLetter"/>
      <w:lvlText w:val="%2."/>
      <w:lvlJc w:val="left"/>
      <w:pPr>
        <w:ind w:left="2206" w:hanging="360"/>
      </w:pPr>
    </w:lvl>
    <w:lvl w:ilvl="2" w:tplc="0809001B" w:tentative="1">
      <w:start w:val="1"/>
      <w:numFmt w:val="lowerRoman"/>
      <w:lvlText w:val="%3."/>
      <w:lvlJc w:val="right"/>
      <w:pPr>
        <w:ind w:left="2926" w:hanging="180"/>
      </w:pPr>
    </w:lvl>
    <w:lvl w:ilvl="3" w:tplc="0809000F" w:tentative="1">
      <w:start w:val="1"/>
      <w:numFmt w:val="decimal"/>
      <w:lvlText w:val="%4."/>
      <w:lvlJc w:val="left"/>
      <w:pPr>
        <w:ind w:left="3646" w:hanging="360"/>
      </w:pPr>
    </w:lvl>
    <w:lvl w:ilvl="4" w:tplc="08090019" w:tentative="1">
      <w:start w:val="1"/>
      <w:numFmt w:val="lowerLetter"/>
      <w:lvlText w:val="%5."/>
      <w:lvlJc w:val="left"/>
      <w:pPr>
        <w:ind w:left="4366" w:hanging="360"/>
      </w:pPr>
    </w:lvl>
    <w:lvl w:ilvl="5" w:tplc="0809001B" w:tentative="1">
      <w:start w:val="1"/>
      <w:numFmt w:val="lowerRoman"/>
      <w:lvlText w:val="%6."/>
      <w:lvlJc w:val="right"/>
      <w:pPr>
        <w:ind w:left="5086" w:hanging="180"/>
      </w:pPr>
    </w:lvl>
    <w:lvl w:ilvl="6" w:tplc="0809000F" w:tentative="1">
      <w:start w:val="1"/>
      <w:numFmt w:val="decimal"/>
      <w:lvlText w:val="%7."/>
      <w:lvlJc w:val="left"/>
      <w:pPr>
        <w:ind w:left="5806" w:hanging="360"/>
      </w:pPr>
    </w:lvl>
    <w:lvl w:ilvl="7" w:tplc="08090019" w:tentative="1">
      <w:start w:val="1"/>
      <w:numFmt w:val="lowerLetter"/>
      <w:lvlText w:val="%8."/>
      <w:lvlJc w:val="left"/>
      <w:pPr>
        <w:ind w:left="6526" w:hanging="360"/>
      </w:pPr>
    </w:lvl>
    <w:lvl w:ilvl="8" w:tplc="0809001B" w:tentative="1">
      <w:start w:val="1"/>
      <w:numFmt w:val="lowerRoman"/>
      <w:lvlText w:val="%9."/>
      <w:lvlJc w:val="right"/>
      <w:pPr>
        <w:ind w:left="7246" w:hanging="180"/>
      </w:pPr>
    </w:lvl>
  </w:abstractNum>
  <w:abstractNum w:abstractNumId="21" w15:restartNumberingAfterBreak="0">
    <w:nsid w:val="65900527"/>
    <w:multiLevelType w:val="hybridMultilevel"/>
    <w:tmpl w:val="E4182C9E"/>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720167CD"/>
    <w:multiLevelType w:val="hybridMultilevel"/>
    <w:tmpl w:val="8E387CF8"/>
    <w:lvl w:ilvl="0" w:tplc="77764A6A">
      <w:start w:val="1"/>
      <w:numFmt w:val="decimal"/>
      <w:lvlText w:val="%1."/>
      <w:lvlJc w:val="left"/>
      <w:pPr>
        <w:ind w:left="1486" w:hanging="360"/>
      </w:pPr>
      <w:rPr>
        <w:rFonts w:hint="default"/>
      </w:rPr>
    </w:lvl>
    <w:lvl w:ilvl="1" w:tplc="08090019" w:tentative="1">
      <w:start w:val="1"/>
      <w:numFmt w:val="lowerLetter"/>
      <w:lvlText w:val="%2."/>
      <w:lvlJc w:val="left"/>
      <w:pPr>
        <w:ind w:left="2206" w:hanging="360"/>
      </w:pPr>
    </w:lvl>
    <w:lvl w:ilvl="2" w:tplc="0809001B" w:tentative="1">
      <w:start w:val="1"/>
      <w:numFmt w:val="lowerRoman"/>
      <w:lvlText w:val="%3."/>
      <w:lvlJc w:val="right"/>
      <w:pPr>
        <w:ind w:left="2926" w:hanging="180"/>
      </w:pPr>
    </w:lvl>
    <w:lvl w:ilvl="3" w:tplc="0809000F" w:tentative="1">
      <w:start w:val="1"/>
      <w:numFmt w:val="decimal"/>
      <w:lvlText w:val="%4."/>
      <w:lvlJc w:val="left"/>
      <w:pPr>
        <w:ind w:left="3646" w:hanging="360"/>
      </w:pPr>
    </w:lvl>
    <w:lvl w:ilvl="4" w:tplc="08090019" w:tentative="1">
      <w:start w:val="1"/>
      <w:numFmt w:val="lowerLetter"/>
      <w:lvlText w:val="%5."/>
      <w:lvlJc w:val="left"/>
      <w:pPr>
        <w:ind w:left="4366" w:hanging="360"/>
      </w:pPr>
    </w:lvl>
    <w:lvl w:ilvl="5" w:tplc="0809001B" w:tentative="1">
      <w:start w:val="1"/>
      <w:numFmt w:val="lowerRoman"/>
      <w:lvlText w:val="%6."/>
      <w:lvlJc w:val="right"/>
      <w:pPr>
        <w:ind w:left="5086" w:hanging="180"/>
      </w:pPr>
    </w:lvl>
    <w:lvl w:ilvl="6" w:tplc="0809000F" w:tentative="1">
      <w:start w:val="1"/>
      <w:numFmt w:val="decimal"/>
      <w:lvlText w:val="%7."/>
      <w:lvlJc w:val="left"/>
      <w:pPr>
        <w:ind w:left="5806" w:hanging="360"/>
      </w:pPr>
    </w:lvl>
    <w:lvl w:ilvl="7" w:tplc="08090019" w:tentative="1">
      <w:start w:val="1"/>
      <w:numFmt w:val="lowerLetter"/>
      <w:lvlText w:val="%8."/>
      <w:lvlJc w:val="left"/>
      <w:pPr>
        <w:ind w:left="6526" w:hanging="360"/>
      </w:pPr>
    </w:lvl>
    <w:lvl w:ilvl="8" w:tplc="0809001B" w:tentative="1">
      <w:start w:val="1"/>
      <w:numFmt w:val="lowerRoman"/>
      <w:lvlText w:val="%9."/>
      <w:lvlJc w:val="right"/>
      <w:pPr>
        <w:ind w:left="7246" w:hanging="180"/>
      </w:pPr>
    </w:lvl>
  </w:abstractNum>
  <w:abstractNum w:abstractNumId="25"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6"/>
  </w:num>
  <w:num w:numId="2">
    <w:abstractNumId w:val="14"/>
  </w:num>
  <w:num w:numId="3">
    <w:abstractNumId w:val="18"/>
  </w:num>
  <w:num w:numId="4">
    <w:abstractNumId w:val="11"/>
  </w:num>
  <w:num w:numId="5">
    <w:abstractNumId w:val="22"/>
  </w:num>
  <w:num w:numId="6">
    <w:abstractNumId w:val="0"/>
  </w:num>
  <w:num w:numId="7">
    <w:abstractNumId w:val="10"/>
  </w:num>
  <w:num w:numId="8">
    <w:abstractNumId w:val="19"/>
  </w:num>
  <w:num w:numId="9">
    <w:abstractNumId w:val="26"/>
  </w:num>
  <w:num w:numId="10">
    <w:abstractNumId w:val="25"/>
  </w:num>
  <w:num w:numId="11">
    <w:abstractNumId w:val="9"/>
  </w:num>
  <w:num w:numId="12">
    <w:abstractNumId w:val="7"/>
  </w:num>
  <w:num w:numId="13">
    <w:abstractNumId w:val="2"/>
  </w:num>
  <w:num w:numId="14">
    <w:abstractNumId w:val="3"/>
  </w:num>
  <w:num w:numId="15">
    <w:abstractNumId w:val="23"/>
  </w:num>
  <w:num w:numId="16">
    <w:abstractNumId w:val="4"/>
  </w:num>
  <w:num w:numId="17">
    <w:abstractNumId w:val="13"/>
  </w:num>
  <w:num w:numId="18">
    <w:abstractNumId w:val="8"/>
  </w:num>
  <w:num w:numId="19">
    <w:abstractNumId w:val="20"/>
  </w:num>
  <w:num w:numId="20">
    <w:abstractNumId w:val="17"/>
  </w:num>
  <w:num w:numId="21">
    <w:abstractNumId w:val="5"/>
  </w:num>
  <w:num w:numId="22">
    <w:abstractNumId w:val="12"/>
  </w:num>
  <w:num w:numId="23">
    <w:abstractNumId w:val="24"/>
  </w:num>
  <w:num w:numId="24">
    <w:abstractNumId w:val="21"/>
  </w:num>
  <w:num w:numId="25">
    <w:abstractNumId w:val="15"/>
  </w:num>
  <w:num w:numId="26">
    <w:abstractNumId w:val="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4FANQMMtQtAAAA"/>
  </w:docVars>
  <w:rsids>
    <w:rsidRoot w:val="00BF6929"/>
    <w:rsid w:val="000124BC"/>
    <w:rsid w:val="00015E52"/>
    <w:rsid w:val="00020E8A"/>
    <w:rsid w:val="00026FE0"/>
    <w:rsid w:val="00060A16"/>
    <w:rsid w:val="00095BB2"/>
    <w:rsid w:val="000A1181"/>
    <w:rsid w:val="000A180B"/>
    <w:rsid w:val="000C123F"/>
    <w:rsid w:val="000C130F"/>
    <w:rsid w:val="000C2064"/>
    <w:rsid w:val="000C5E60"/>
    <w:rsid w:val="000C69E3"/>
    <w:rsid w:val="000D6DC6"/>
    <w:rsid w:val="000E7FB1"/>
    <w:rsid w:val="001029DE"/>
    <w:rsid w:val="00111D33"/>
    <w:rsid w:val="001162EC"/>
    <w:rsid w:val="0013194E"/>
    <w:rsid w:val="00131CA0"/>
    <w:rsid w:val="00140152"/>
    <w:rsid w:val="001479E5"/>
    <w:rsid w:val="00150422"/>
    <w:rsid w:val="001514C0"/>
    <w:rsid w:val="00152361"/>
    <w:rsid w:val="001610D0"/>
    <w:rsid w:val="00161528"/>
    <w:rsid w:val="00161C30"/>
    <w:rsid w:val="00164578"/>
    <w:rsid w:val="00185FCD"/>
    <w:rsid w:val="00194DB0"/>
    <w:rsid w:val="001A3500"/>
    <w:rsid w:val="001A4AEA"/>
    <w:rsid w:val="001B382B"/>
    <w:rsid w:val="001C04A5"/>
    <w:rsid w:val="001D2A0F"/>
    <w:rsid w:val="001D2BF4"/>
    <w:rsid w:val="001D734F"/>
    <w:rsid w:val="001E563F"/>
    <w:rsid w:val="001F2AFE"/>
    <w:rsid w:val="002035F7"/>
    <w:rsid w:val="00234DED"/>
    <w:rsid w:val="00240573"/>
    <w:rsid w:val="00241600"/>
    <w:rsid w:val="00262C5C"/>
    <w:rsid w:val="002733D3"/>
    <w:rsid w:val="00294604"/>
    <w:rsid w:val="002A1523"/>
    <w:rsid w:val="002A7BFC"/>
    <w:rsid w:val="002B7BAD"/>
    <w:rsid w:val="002F12C9"/>
    <w:rsid w:val="002F2451"/>
    <w:rsid w:val="00315BE3"/>
    <w:rsid w:val="00334FE2"/>
    <w:rsid w:val="00345E66"/>
    <w:rsid w:val="003533FF"/>
    <w:rsid w:val="003812E1"/>
    <w:rsid w:val="00384C3C"/>
    <w:rsid w:val="00390BAF"/>
    <w:rsid w:val="003A2772"/>
    <w:rsid w:val="003A6F08"/>
    <w:rsid w:val="003B55E9"/>
    <w:rsid w:val="003D29D5"/>
    <w:rsid w:val="003D5525"/>
    <w:rsid w:val="003E4ABF"/>
    <w:rsid w:val="003F1C63"/>
    <w:rsid w:val="00401E15"/>
    <w:rsid w:val="00410369"/>
    <w:rsid w:val="00427858"/>
    <w:rsid w:val="00433095"/>
    <w:rsid w:val="00435E93"/>
    <w:rsid w:val="00437894"/>
    <w:rsid w:val="00446F47"/>
    <w:rsid w:val="004832B3"/>
    <w:rsid w:val="00485D72"/>
    <w:rsid w:val="0048751C"/>
    <w:rsid w:val="004A5465"/>
    <w:rsid w:val="004D1977"/>
    <w:rsid w:val="004D1D7C"/>
    <w:rsid w:val="004D3791"/>
    <w:rsid w:val="004D55F5"/>
    <w:rsid w:val="004E08DA"/>
    <w:rsid w:val="004F708A"/>
    <w:rsid w:val="00504750"/>
    <w:rsid w:val="005065BF"/>
    <w:rsid w:val="005205FC"/>
    <w:rsid w:val="0052560B"/>
    <w:rsid w:val="00535BF2"/>
    <w:rsid w:val="00544278"/>
    <w:rsid w:val="00552E77"/>
    <w:rsid w:val="00553517"/>
    <w:rsid w:val="00561045"/>
    <w:rsid w:val="005A18A0"/>
    <w:rsid w:val="005A7B14"/>
    <w:rsid w:val="005B1787"/>
    <w:rsid w:val="005B3180"/>
    <w:rsid w:val="005B6F4C"/>
    <w:rsid w:val="005C3271"/>
    <w:rsid w:val="005D1FDE"/>
    <w:rsid w:val="005D4BA9"/>
    <w:rsid w:val="005E2FBD"/>
    <w:rsid w:val="005E5D1F"/>
    <w:rsid w:val="005F15C7"/>
    <w:rsid w:val="005F2A6A"/>
    <w:rsid w:val="00603844"/>
    <w:rsid w:val="006130DF"/>
    <w:rsid w:val="0061538E"/>
    <w:rsid w:val="006200A7"/>
    <w:rsid w:val="00621D66"/>
    <w:rsid w:val="0062563A"/>
    <w:rsid w:val="00627DEB"/>
    <w:rsid w:val="006666F2"/>
    <w:rsid w:val="00674912"/>
    <w:rsid w:val="006A5FFE"/>
    <w:rsid w:val="006B0887"/>
    <w:rsid w:val="006B1ED6"/>
    <w:rsid w:val="006D0B29"/>
    <w:rsid w:val="006D5E06"/>
    <w:rsid w:val="006F41D1"/>
    <w:rsid w:val="007054F0"/>
    <w:rsid w:val="00706118"/>
    <w:rsid w:val="00716F92"/>
    <w:rsid w:val="0072154B"/>
    <w:rsid w:val="00732847"/>
    <w:rsid w:val="0073503E"/>
    <w:rsid w:val="00745FC5"/>
    <w:rsid w:val="007664A7"/>
    <w:rsid w:val="00771639"/>
    <w:rsid w:val="00781EF0"/>
    <w:rsid w:val="0078795B"/>
    <w:rsid w:val="007A2E6A"/>
    <w:rsid w:val="007A56CD"/>
    <w:rsid w:val="007A7452"/>
    <w:rsid w:val="007C13C8"/>
    <w:rsid w:val="007C2573"/>
    <w:rsid w:val="007C5091"/>
    <w:rsid w:val="007D4FB8"/>
    <w:rsid w:val="007E0CC4"/>
    <w:rsid w:val="007E55A7"/>
    <w:rsid w:val="007F2759"/>
    <w:rsid w:val="007F4267"/>
    <w:rsid w:val="007F789E"/>
    <w:rsid w:val="008138CE"/>
    <w:rsid w:val="00814903"/>
    <w:rsid w:val="0082471E"/>
    <w:rsid w:val="00827492"/>
    <w:rsid w:val="008309F4"/>
    <w:rsid w:val="008341BB"/>
    <w:rsid w:val="00836F31"/>
    <w:rsid w:val="00843C43"/>
    <w:rsid w:val="00843E93"/>
    <w:rsid w:val="0085693B"/>
    <w:rsid w:val="00871F62"/>
    <w:rsid w:val="00876D97"/>
    <w:rsid w:val="00880CDE"/>
    <w:rsid w:val="00891BA1"/>
    <w:rsid w:val="00893FE9"/>
    <w:rsid w:val="008967AE"/>
    <w:rsid w:val="008A18C5"/>
    <w:rsid w:val="008A39E2"/>
    <w:rsid w:val="008C1BDD"/>
    <w:rsid w:val="008D07A4"/>
    <w:rsid w:val="008E01EB"/>
    <w:rsid w:val="008E032F"/>
    <w:rsid w:val="008E6123"/>
    <w:rsid w:val="008E73B8"/>
    <w:rsid w:val="00912379"/>
    <w:rsid w:val="00915AA1"/>
    <w:rsid w:val="009264B5"/>
    <w:rsid w:val="00934E05"/>
    <w:rsid w:val="00983EEA"/>
    <w:rsid w:val="00990561"/>
    <w:rsid w:val="009937C0"/>
    <w:rsid w:val="0099691C"/>
    <w:rsid w:val="009A44C0"/>
    <w:rsid w:val="009A4D7A"/>
    <w:rsid w:val="009A6DCD"/>
    <w:rsid w:val="009B3027"/>
    <w:rsid w:val="009B5CD2"/>
    <w:rsid w:val="009B76BB"/>
    <w:rsid w:val="00A04D80"/>
    <w:rsid w:val="00A06DD1"/>
    <w:rsid w:val="00A24ADE"/>
    <w:rsid w:val="00A25541"/>
    <w:rsid w:val="00A27594"/>
    <w:rsid w:val="00A27C0B"/>
    <w:rsid w:val="00A47B99"/>
    <w:rsid w:val="00A752C8"/>
    <w:rsid w:val="00A833BA"/>
    <w:rsid w:val="00A87FCA"/>
    <w:rsid w:val="00A92087"/>
    <w:rsid w:val="00AA53AA"/>
    <w:rsid w:val="00AA714A"/>
    <w:rsid w:val="00AB5598"/>
    <w:rsid w:val="00AD279B"/>
    <w:rsid w:val="00AD4386"/>
    <w:rsid w:val="00AF38D5"/>
    <w:rsid w:val="00B02D18"/>
    <w:rsid w:val="00B076FF"/>
    <w:rsid w:val="00B16F02"/>
    <w:rsid w:val="00B76D56"/>
    <w:rsid w:val="00B9402D"/>
    <w:rsid w:val="00BA1AAA"/>
    <w:rsid w:val="00BB0CEB"/>
    <w:rsid w:val="00BB1D52"/>
    <w:rsid w:val="00BD5347"/>
    <w:rsid w:val="00BE5EED"/>
    <w:rsid w:val="00BF6929"/>
    <w:rsid w:val="00C0538D"/>
    <w:rsid w:val="00C157CF"/>
    <w:rsid w:val="00C43545"/>
    <w:rsid w:val="00C54E8E"/>
    <w:rsid w:val="00C63F61"/>
    <w:rsid w:val="00C82C70"/>
    <w:rsid w:val="00C85A68"/>
    <w:rsid w:val="00C92034"/>
    <w:rsid w:val="00C92EF1"/>
    <w:rsid w:val="00CA5529"/>
    <w:rsid w:val="00CA5B25"/>
    <w:rsid w:val="00CC6D1C"/>
    <w:rsid w:val="00CD539B"/>
    <w:rsid w:val="00CE735F"/>
    <w:rsid w:val="00D04722"/>
    <w:rsid w:val="00D05827"/>
    <w:rsid w:val="00D307C3"/>
    <w:rsid w:val="00D36773"/>
    <w:rsid w:val="00D5295E"/>
    <w:rsid w:val="00D54DE7"/>
    <w:rsid w:val="00D64CC3"/>
    <w:rsid w:val="00D64E3A"/>
    <w:rsid w:val="00D70970"/>
    <w:rsid w:val="00D74463"/>
    <w:rsid w:val="00D82A71"/>
    <w:rsid w:val="00D91E8A"/>
    <w:rsid w:val="00DA49E2"/>
    <w:rsid w:val="00DA5364"/>
    <w:rsid w:val="00DA5E54"/>
    <w:rsid w:val="00DB722D"/>
    <w:rsid w:val="00DC521C"/>
    <w:rsid w:val="00DD0B74"/>
    <w:rsid w:val="00DD2C18"/>
    <w:rsid w:val="00DE723A"/>
    <w:rsid w:val="00DF2685"/>
    <w:rsid w:val="00DF5899"/>
    <w:rsid w:val="00E11192"/>
    <w:rsid w:val="00E230C8"/>
    <w:rsid w:val="00E26E94"/>
    <w:rsid w:val="00E626AB"/>
    <w:rsid w:val="00E64082"/>
    <w:rsid w:val="00E773D9"/>
    <w:rsid w:val="00EA77C6"/>
    <w:rsid w:val="00EB55DB"/>
    <w:rsid w:val="00ED7BBC"/>
    <w:rsid w:val="00EE21D1"/>
    <w:rsid w:val="00EE27C3"/>
    <w:rsid w:val="00EF4595"/>
    <w:rsid w:val="00EF475D"/>
    <w:rsid w:val="00F0480D"/>
    <w:rsid w:val="00F23651"/>
    <w:rsid w:val="00F26C6C"/>
    <w:rsid w:val="00F31FCF"/>
    <w:rsid w:val="00F35E0C"/>
    <w:rsid w:val="00F77E71"/>
    <w:rsid w:val="00F8046B"/>
    <w:rsid w:val="00F835A6"/>
    <w:rsid w:val="00FA5A25"/>
    <w:rsid w:val="00FB6924"/>
    <w:rsid w:val="00FD2BC7"/>
    <w:rsid w:val="00FD417D"/>
    <w:rsid w:val="00FE160E"/>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27594"/>
    <w:pPr>
      <w:spacing w:before="120" w:line="260" w:lineRule="atLeast"/>
      <w:jc w:val="both"/>
    </w:pPr>
  </w:style>
  <w:style w:type="paragraph" w:styleId="Heading1">
    <w:name w:val="heading 1"/>
    <w:basedOn w:val="Normal"/>
    <w:next w:val="Normal"/>
    <w:link w:val="Heading1Char"/>
    <w:uiPriority w:val="9"/>
    <w:qFormat/>
    <w:rsid w:val="00150422"/>
    <w:pPr>
      <w:outlineLvl w:val="0"/>
    </w:pPr>
    <w:rPr>
      <w:b/>
      <w:sz w:val="28"/>
      <w:szCs w:val="24"/>
      <w:lang w:val="en-US"/>
    </w:rPr>
  </w:style>
  <w:style w:type="paragraph" w:styleId="Heading2">
    <w:name w:val="heading 2"/>
    <w:basedOn w:val="Normal"/>
    <w:next w:val="Normal"/>
    <w:link w:val="Heading2Char"/>
    <w:uiPriority w:val="9"/>
    <w:unhideWhenUsed/>
    <w:qFormat/>
    <w:rsid w:val="00EB55DB"/>
    <w:pPr>
      <w:ind w:left="709" w:hanging="349"/>
      <w:outlineLvl w:val="1"/>
    </w:pPr>
    <w:rPr>
      <w:b/>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150422"/>
    <w:rPr>
      <w:b/>
      <w:sz w:val="28"/>
      <w:szCs w:val="24"/>
      <w:lang w:val="en-US"/>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1">
    <w:name w:val="Unresolved Mention1"/>
    <w:basedOn w:val="DefaultParagraphFont"/>
    <w:uiPriority w:val="99"/>
    <w:semiHidden/>
    <w:unhideWhenUsed/>
    <w:rsid w:val="00A752C8"/>
    <w:rPr>
      <w:color w:val="605E5C"/>
      <w:shd w:val="clear" w:color="auto" w:fill="E1DFDD"/>
    </w:rPr>
  </w:style>
  <w:style w:type="paragraph" w:styleId="NormalWeb">
    <w:name w:val="Normal (Web)"/>
    <w:basedOn w:val="Normal"/>
    <w:uiPriority w:val="99"/>
    <w:semiHidden/>
    <w:unhideWhenUsed/>
    <w:rsid w:val="00390B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PRAGHeading2">
    <w:name w:val="PRAG Heading 2"/>
    <w:basedOn w:val="Normal"/>
    <w:rsid w:val="0052560B"/>
    <w:pPr>
      <w:widowControl w:val="0"/>
      <w:numPr>
        <w:numId w:val="18"/>
      </w:numPr>
      <w:spacing w:before="100" w:after="100" w:line="240" w:lineRule="auto"/>
    </w:pPr>
    <w:rPr>
      <w:rFonts w:ascii="Times New Roman" w:eastAsia="Times New Roman" w:hAnsi="Times New Roman" w:cs="Times New Roman"/>
      <w:snapToGrid w:val="0"/>
      <w:sz w:val="24"/>
      <w:szCs w:val="20"/>
      <w:lang w:val="en-US"/>
    </w:rPr>
  </w:style>
  <w:style w:type="paragraph" w:styleId="FootnoteText">
    <w:name w:val="footnote text"/>
    <w:basedOn w:val="Normal"/>
    <w:link w:val="FootnoteTextChar"/>
    <w:rsid w:val="0052560B"/>
    <w:pPr>
      <w:widowControl w:val="0"/>
      <w:spacing w:before="100" w:after="100" w:line="240" w:lineRule="auto"/>
    </w:pPr>
    <w:rPr>
      <w:rFonts w:ascii="Times New Roman" w:eastAsia="Times New Roman" w:hAnsi="Times New Roman" w:cs="Times New Roman"/>
      <w:snapToGrid w:val="0"/>
      <w:sz w:val="20"/>
      <w:szCs w:val="20"/>
      <w:lang w:val="en-US"/>
    </w:rPr>
  </w:style>
  <w:style w:type="character" w:customStyle="1" w:styleId="FootnoteTextChar">
    <w:name w:val="Footnote Text Char"/>
    <w:basedOn w:val="DefaultParagraphFont"/>
    <w:link w:val="FootnoteText"/>
    <w:rsid w:val="0052560B"/>
    <w:rPr>
      <w:rFonts w:ascii="Times New Roman" w:eastAsia="Times New Roman" w:hAnsi="Times New Roman" w:cs="Times New Roman"/>
      <w:snapToGrid w:val="0"/>
      <w:sz w:val="20"/>
      <w:szCs w:val="20"/>
      <w:lang w:val="en-US"/>
    </w:rPr>
  </w:style>
  <w:style w:type="character" w:styleId="FootnoteReference">
    <w:name w:val="footnote reference"/>
    <w:rsid w:val="0052560B"/>
    <w:rPr>
      <w:vertAlign w:val="superscript"/>
    </w:rPr>
  </w:style>
  <w:style w:type="paragraph" w:styleId="Subtitle">
    <w:name w:val="Subtitle"/>
    <w:basedOn w:val="Normal"/>
    <w:next w:val="Normal"/>
    <w:link w:val="SubtitleChar"/>
    <w:uiPriority w:val="11"/>
    <w:qFormat/>
    <w:rsid w:val="00150422"/>
    <w:pPr>
      <w:numPr>
        <w:ilvl w:val="1"/>
      </w:numPr>
      <w:spacing w:after="160"/>
      <w:jc w:val="center"/>
    </w:pPr>
    <w:rPr>
      <w:rFonts w:eastAsiaTheme="minorEastAsia"/>
      <w:b/>
      <w:spacing w:val="15"/>
      <w:sz w:val="28"/>
      <w:szCs w:val="28"/>
      <w:lang w:val="en-US"/>
    </w:rPr>
  </w:style>
  <w:style w:type="character" w:customStyle="1" w:styleId="SubtitleChar">
    <w:name w:val="Subtitle Char"/>
    <w:basedOn w:val="DefaultParagraphFont"/>
    <w:link w:val="Subtitle"/>
    <w:uiPriority w:val="11"/>
    <w:rsid w:val="00150422"/>
    <w:rPr>
      <w:rFonts w:eastAsiaTheme="minorEastAsia"/>
      <w:b/>
      <w:spacing w:val="15"/>
      <w:sz w:val="28"/>
      <w:szCs w:val="28"/>
      <w:lang w:val="en-US"/>
    </w:rPr>
  </w:style>
  <w:style w:type="character" w:styleId="SubtleEmphasis">
    <w:name w:val="Subtle Emphasis"/>
    <w:basedOn w:val="DefaultParagraphFont"/>
    <w:uiPriority w:val="19"/>
    <w:qFormat/>
    <w:rsid w:val="00E626A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512151">
      <w:bodyDiv w:val="1"/>
      <w:marLeft w:val="0"/>
      <w:marRight w:val="0"/>
      <w:marTop w:val="0"/>
      <w:marBottom w:val="0"/>
      <w:divBdr>
        <w:top w:val="none" w:sz="0" w:space="0" w:color="auto"/>
        <w:left w:val="none" w:sz="0" w:space="0" w:color="auto"/>
        <w:bottom w:val="none" w:sz="0" w:space="0" w:color="auto"/>
        <w:right w:val="none" w:sz="0" w:space="0" w:color="auto"/>
      </w:divBdr>
      <w:divsChild>
        <w:div w:id="1998612148">
          <w:marLeft w:val="0"/>
          <w:marRight w:val="0"/>
          <w:marTop w:val="0"/>
          <w:marBottom w:val="0"/>
          <w:divBdr>
            <w:top w:val="none" w:sz="0" w:space="0" w:color="auto"/>
            <w:left w:val="none" w:sz="0" w:space="0" w:color="auto"/>
            <w:bottom w:val="none" w:sz="0" w:space="0" w:color="auto"/>
            <w:right w:val="none" w:sz="0" w:space="0" w:color="auto"/>
          </w:divBdr>
        </w:div>
      </w:divsChild>
    </w:div>
    <w:div w:id="1909151484">
      <w:bodyDiv w:val="1"/>
      <w:marLeft w:val="0"/>
      <w:marRight w:val="0"/>
      <w:marTop w:val="0"/>
      <w:marBottom w:val="0"/>
      <w:divBdr>
        <w:top w:val="none" w:sz="0" w:space="0" w:color="auto"/>
        <w:left w:val="none" w:sz="0" w:space="0" w:color="auto"/>
        <w:bottom w:val="none" w:sz="0" w:space="0" w:color="auto"/>
        <w:right w:val="none" w:sz="0" w:space="0" w:color="auto"/>
      </w:divBdr>
      <w:divsChild>
        <w:div w:id="240599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54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previousVersions.d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mania-serbia.net/?page_id=25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ostafe@yahoo.com" TargetMode="External"/><Relationship Id="rId4" Type="http://schemas.openxmlformats.org/officeDocument/2006/relationships/settings" Target="settings.xml"/><Relationship Id="rId9" Type="http://schemas.openxmlformats.org/officeDocument/2006/relationships/hyperlink" Target="mailto:vasile.ostafe@e-uvt.r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D2E4D-C76A-485D-9B2F-B8A72C558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5</Pages>
  <Words>1331</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24</cp:revision>
  <cp:lastPrinted>2019-10-21T10:02:00Z</cp:lastPrinted>
  <dcterms:created xsi:type="dcterms:W3CDTF">2019-12-11T14:43:00Z</dcterms:created>
  <dcterms:modified xsi:type="dcterms:W3CDTF">2020-03-06T10:54:00Z</dcterms:modified>
</cp:coreProperties>
</file>